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B40" w:rsidRDefault="001B6B40" w:rsidP="001B6B40">
      <w:pPr>
        <w:jc w:val="center"/>
        <w:rPr>
          <w:rFonts w:ascii="Times New Roman" w:hAnsi="Times New Roman" w:cs="Times New Roman"/>
          <w:smallCaps/>
          <w:sz w:val="24"/>
          <w:szCs w:val="24"/>
        </w:rPr>
      </w:pPr>
      <w:r>
        <w:rPr>
          <w:rFonts w:ascii="Times New Roman" w:hAnsi="Times New Roman" w:cs="Times New Roman"/>
          <w:smallCaps/>
          <w:sz w:val="24"/>
          <w:szCs w:val="24"/>
        </w:rPr>
        <w:t>Document of the Inter-American Development Bank</w:t>
      </w:r>
    </w:p>
    <w:p w:rsidR="001B6B40" w:rsidRDefault="001B6B40" w:rsidP="001B6B40">
      <w:pPr>
        <w:jc w:val="center"/>
        <w:rPr>
          <w:rFonts w:ascii="Times New Roman" w:hAnsi="Times New Roman" w:cs="Times New Roman"/>
          <w:smallCaps/>
          <w:sz w:val="24"/>
          <w:szCs w:val="24"/>
        </w:rPr>
      </w:pPr>
    </w:p>
    <w:p w:rsidR="001B6B40" w:rsidRDefault="001B6B40" w:rsidP="001B6B40">
      <w:pPr>
        <w:jc w:val="center"/>
        <w:rPr>
          <w:rFonts w:ascii="Times New Roman" w:hAnsi="Times New Roman" w:cs="Times New Roman"/>
          <w:smallCaps/>
          <w:sz w:val="24"/>
          <w:szCs w:val="24"/>
        </w:rPr>
      </w:pPr>
    </w:p>
    <w:p w:rsidR="001B6B40" w:rsidRDefault="001B6B40" w:rsidP="001B6B40">
      <w:pPr>
        <w:rPr>
          <w:rFonts w:ascii="Times New Roman" w:hAnsi="Times New Roman" w:cs="Times New Roman"/>
          <w:smallCaps/>
          <w:sz w:val="24"/>
          <w:szCs w:val="24"/>
        </w:rPr>
      </w:pPr>
    </w:p>
    <w:p w:rsidR="001B6B40" w:rsidRDefault="001B6B40" w:rsidP="001B6B40">
      <w:pPr>
        <w:jc w:val="center"/>
        <w:rPr>
          <w:rFonts w:ascii="Times New Roman" w:hAnsi="Times New Roman" w:cs="Times New Roman"/>
          <w:b/>
          <w:smallCaps/>
          <w:sz w:val="32"/>
          <w:szCs w:val="32"/>
        </w:rPr>
      </w:pPr>
      <w:r>
        <w:rPr>
          <w:rFonts w:ascii="Times New Roman" w:hAnsi="Times New Roman" w:cs="Times New Roman"/>
          <w:b/>
          <w:smallCaps/>
          <w:sz w:val="32"/>
          <w:szCs w:val="32"/>
        </w:rPr>
        <w:t>Mexico</w:t>
      </w:r>
    </w:p>
    <w:p w:rsidR="001B6B40" w:rsidRDefault="001B6B40" w:rsidP="001B6B40">
      <w:pPr>
        <w:jc w:val="both"/>
        <w:rPr>
          <w:rFonts w:ascii="Times New Roman" w:hAnsi="Times New Roman" w:cs="Times New Roman"/>
          <w:sz w:val="24"/>
          <w:szCs w:val="24"/>
        </w:rPr>
      </w:pPr>
    </w:p>
    <w:p w:rsidR="006A2F52" w:rsidRPr="00272A5C" w:rsidRDefault="006A2F52" w:rsidP="006A2F52">
      <w:pPr>
        <w:spacing w:after="0"/>
        <w:jc w:val="center"/>
        <w:rPr>
          <w:rFonts w:ascii="Times New Roman Bold" w:hAnsi="Times New Roman Bold" w:cs="Times New Roman"/>
          <w:b/>
          <w:smallCaps/>
          <w:sz w:val="28"/>
          <w:szCs w:val="24"/>
        </w:rPr>
      </w:pPr>
      <w:r>
        <w:rPr>
          <w:rFonts w:ascii="Times New Roman Bold" w:hAnsi="Times New Roman Bold" w:cs="Times New Roman"/>
          <w:b/>
          <w:smallCaps/>
          <w:sz w:val="28"/>
          <w:szCs w:val="24"/>
        </w:rPr>
        <w:t>Geothermal Financing and Risk Transfer Program</w:t>
      </w:r>
    </w:p>
    <w:p w:rsidR="006A2F52" w:rsidRDefault="006A2F52" w:rsidP="006A2F52">
      <w:pPr>
        <w:spacing w:after="100" w:afterAutospacing="1"/>
        <w:jc w:val="center"/>
        <w:rPr>
          <w:rFonts w:ascii="Times New Roman" w:hAnsi="Times New Roman" w:cs="Times New Roman"/>
          <w:b/>
          <w:smallCaps/>
          <w:sz w:val="28"/>
          <w:szCs w:val="24"/>
        </w:rPr>
      </w:pPr>
      <w:r w:rsidRPr="00272A5C">
        <w:rPr>
          <w:rFonts w:ascii="Times New Roman" w:hAnsi="Times New Roman" w:cs="Times New Roman"/>
          <w:b/>
          <w:smallCaps/>
          <w:sz w:val="28"/>
          <w:szCs w:val="24"/>
        </w:rPr>
        <w:t>(ME-</w:t>
      </w:r>
      <w:r>
        <w:rPr>
          <w:rFonts w:ascii="Times New Roman" w:hAnsi="Times New Roman" w:cs="Times New Roman"/>
          <w:b/>
          <w:smallCaps/>
          <w:sz w:val="28"/>
          <w:szCs w:val="24"/>
        </w:rPr>
        <w:t>L1148</w:t>
      </w:r>
      <w:r w:rsidRPr="00272A5C">
        <w:rPr>
          <w:rFonts w:ascii="Times New Roman" w:hAnsi="Times New Roman" w:cs="Times New Roman"/>
          <w:b/>
          <w:smallCaps/>
          <w:sz w:val="28"/>
          <w:szCs w:val="24"/>
        </w:rPr>
        <w:t>)</w:t>
      </w:r>
    </w:p>
    <w:p w:rsidR="006A2F52" w:rsidRDefault="006A2F52" w:rsidP="006A2F52">
      <w:pPr>
        <w:jc w:val="center"/>
        <w:rPr>
          <w:rFonts w:ascii="Times New Roman" w:hAnsi="Times New Roman" w:cs="Times New Roman"/>
          <w:b/>
          <w:smallCaps/>
          <w:sz w:val="28"/>
          <w:szCs w:val="24"/>
        </w:rPr>
      </w:pPr>
    </w:p>
    <w:p w:rsidR="006A2F52" w:rsidRPr="00272A5C" w:rsidRDefault="006A2F52" w:rsidP="006A2F52">
      <w:pPr>
        <w:spacing w:after="0"/>
        <w:jc w:val="center"/>
        <w:rPr>
          <w:rFonts w:ascii="Times New Roman Bold" w:hAnsi="Times New Roman Bold" w:cs="Times New Roman"/>
          <w:b/>
          <w:smallCaps/>
          <w:sz w:val="28"/>
          <w:szCs w:val="24"/>
        </w:rPr>
      </w:pPr>
      <w:r w:rsidRPr="00A43052">
        <w:rPr>
          <w:rFonts w:ascii="Times New Roman Bold" w:hAnsi="Times New Roman Bold" w:cs="Times New Roman"/>
          <w:b/>
          <w:smallCaps/>
          <w:sz w:val="28"/>
          <w:szCs w:val="24"/>
        </w:rPr>
        <w:t>Fourth</w:t>
      </w:r>
      <w:r>
        <w:rPr>
          <w:rFonts w:ascii="Times New Roman Bold" w:hAnsi="Times New Roman Bold" w:cs="Times New Roman"/>
          <w:b/>
          <w:smallCaps/>
          <w:sz w:val="28"/>
          <w:szCs w:val="24"/>
        </w:rPr>
        <w:t xml:space="preserve"> Individual Operation Under t</w:t>
      </w:r>
      <w:r w:rsidRPr="00272A5C">
        <w:rPr>
          <w:rFonts w:ascii="Times New Roman Bold" w:hAnsi="Times New Roman Bold" w:cs="Times New Roman"/>
          <w:b/>
          <w:smallCaps/>
          <w:sz w:val="28"/>
          <w:szCs w:val="24"/>
        </w:rPr>
        <w:t>he Conditional</w:t>
      </w:r>
    </w:p>
    <w:p w:rsidR="006A2F52" w:rsidRDefault="006A2F52" w:rsidP="006A2F52">
      <w:pPr>
        <w:spacing w:after="0"/>
        <w:jc w:val="center"/>
        <w:rPr>
          <w:rFonts w:ascii="Times New Roman" w:hAnsi="Times New Roman" w:cs="Times New Roman"/>
          <w:b/>
          <w:smallCaps/>
          <w:sz w:val="28"/>
          <w:szCs w:val="24"/>
        </w:rPr>
      </w:pPr>
      <w:r w:rsidRPr="00272A5C">
        <w:rPr>
          <w:rFonts w:ascii="Times New Roman Bold" w:hAnsi="Times New Roman Bold" w:cs="Times New Roman"/>
          <w:b/>
          <w:smallCaps/>
          <w:sz w:val="28"/>
          <w:szCs w:val="24"/>
        </w:rPr>
        <w:t>Credit L</w:t>
      </w:r>
      <w:r>
        <w:rPr>
          <w:rFonts w:ascii="Times New Roman Bold" w:hAnsi="Times New Roman Bold" w:cs="Times New Roman"/>
          <w:b/>
          <w:smallCaps/>
          <w:sz w:val="28"/>
          <w:szCs w:val="24"/>
        </w:rPr>
        <w:t>ine f</w:t>
      </w:r>
      <w:r w:rsidRPr="00272A5C">
        <w:rPr>
          <w:rFonts w:ascii="Times New Roman Bold" w:hAnsi="Times New Roman Bold" w:cs="Times New Roman"/>
          <w:b/>
          <w:smallCaps/>
          <w:sz w:val="28"/>
          <w:szCs w:val="24"/>
        </w:rPr>
        <w:t>or Investment Projects (C</w:t>
      </w:r>
      <w:r>
        <w:rPr>
          <w:rFonts w:ascii="Times New Roman Bold" w:hAnsi="Times New Roman Bold" w:cs="Times New Roman"/>
          <w:b/>
          <w:smallCaps/>
          <w:sz w:val="28"/>
          <w:szCs w:val="24"/>
        </w:rPr>
        <w:t>CLIP</w:t>
      </w:r>
      <w:r w:rsidRPr="00272A5C">
        <w:rPr>
          <w:rFonts w:ascii="Times New Roman Bold" w:hAnsi="Times New Roman Bold" w:cs="Times New Roman"/>
          <w:b/>
          <w:smallCaps/>
          <w:sz w:val="28"/>
          <w:szCs w:val="24"/>
        </w:rPr>
        <w:t>)</w:t>
      </w:r>
      <w:r>
        <w:rPr>
          <w:rFonts w:ascii="Times New Roman Bold" w:hAnsi="Times New Roman Bold" w:cs="Times New Roman"/>
          <w:b/>
          <w:smallCaps/>
          <w:sz w:val="28"/>
          <w:szCs w:val="24"/>
        </w:rPr>
        <w:t xml:space="preserve"> </w:t>
      </w:r>
      <w:r>
        <w:rPr>
          <w:rFonts w:ascii="Times New Roman" w:hAnsi="Times New Roman" w:cs="Times New Roman"/>
          <w:b/>
          <w:smallCaps/>
          <w:sz w:val="28"/>
          <w:szCs w:val="24"/>
        </w:rPr>
        <w:t xml:space="preserve">to Support Business Development in Mexico </w:t>
      </w:r>
    </w:p>
    <w:p w:rsidR="006A2F52" w:rsidRDefault="006A2F52" w:rsidP="006A2F52">
      <w:pPr>
        <w:spacing w:after="240"/>
        <w:jc w:val="center"/>
        <w:rPr>
          <w:rFonts w:ascii="Times New Roman" w:hAnsi="Times New Roman" w:cs="Times New Roman"/>
          <w:b/>
          <w:smallCaps/>
          <w:sz w:val="28"/>
          <w:szCs w:val="24"/>
        </w:rPr>
      </w:pPr>
      <w:r>
        <w:rPr>
          <w:rFonts w:ascii="Times New Roman" w:hAnsi="Times New Roman" w:cs="Times New Roman"/>
          <w:b/>
          <w:smallCaps/>
          <w:sz w:val="28"/>
          <w:szCs w:val="24"/>
        </w:rPr>
        <w:t>(ME-X1010)</w:t>
      </w:r>
    </w:p>
    <w:p w:rsidR="006A2F52" w:rsidRDefault="006A2F52" w:rsidP="006A2F52">
      <w:pPr>
        <w:spacing w:before="360" w:after="240"/>
        <w:jc w:val="center"/>
        <w:rPr>
          <w:rFonts w:ascii="Times New Roman" w:hAnsi="Times New Roman" w:cs="Times New Roman"/>
          <w:b/>
          <w:smallCaps/>
          <w:sz w:val="28"/>
          <w:szCs w:val="24"/>
        </w:rPr>
      </w:pPr>
      <w:r>
        <w:rPr>
          <w:rFonts w:ascii="Times New Roman" w:hAnsi="Times New Roman" w:cs="Times New Roman"/>
          <w:b/>
          <w:smallCaps/>
          <w:sz w:val="28"/>
          <w:szCs w:val="24"/>
        </w:rPr>
        <w:t xml:space="preserve">and </w:t>
      </w:r>
    </w:p>
    <w:p w:rsidR="006A2F52" w:rsidRDefault="006A2F52" w:rsidP="006A2F52">
      <w:pPr>
        <w:spacing w:before="360" w:after="0"/>
        <w:jc w:val="center"/>
        <w:rPr>
          <w:rFonts w:ascii="Times New Roman" w:hAnsi="Times New Roman" w:cs="Times New Roman"/>
          <w:b/>
          <w:smallCaps/>
          <w:sz w:val="28"/>
          <w:szCs w:val="24"/>
        </w:rPr>
      </w:pPr>
      <w:r>
        <w:rPr>
          <w:rFonts w:ascii="Times New Roman" w:hAnsi="Times New Roman" w:cs="Times New Roman"/>
          <w:b/>
          <w:smallCaps/>
          <w:sz w:val="28"/>
          <w:szCs w:val="24"/>
        </w:rPr>
        <w:t>Investment Grant for the Geothermal Financing and Risk Transfer Program</w:t>
      </w:r>
    </w:p>
    <w:p w:rsidR="006A2F52" w:rsidRDefault="006A2F52" w:rsidP="006A2F52">
      <w:pPr>
        <w:spacing w:after="120"/>
        <w:jc w:val="center"/>
        <w:rPr>
          <w:rFonts w:ascii="Times New Roman" w:hAnsi="Times New Roman" w:cs="Times New Roman"/>
          <w:b/>
          <w:smallCaps/>
          <w:sz w:val="28"/>
          <w:szCs w:val="24"/>
        </w:rPr>
      </w:pPr>
      <w:r>
        <w:rPr>
          <w:rFonts w:ascii="Times New Roman" w:hAnsi="Times New Roman" w:cs="Times New Roman"/>
          <w:b/>
          <w:smallCaps/>
          <w:sz w:val="28"/>
          <w:szCs w:val="24"/>
        </w:rPr>
        <w:t>(ME-G1005)</w:t>
      </w:r>
    </w:p>
    <w:p w:rsidR="001B6B40" w:rsidRDefault="001B6B40" w:rsidP="001B6B40">
      <w:pPr>
        <w:jc w:val="both"/>
        <w:rPr>
          <w:rFonts w:ascii="Times New Roman" w:hAnsi="Times New Roman" w:cs="Times New Roman"/>
          <w:sz w:val="24"/>
          <w:szCs w:val="24"/>
        </w:rPr>
      </w:pPr>
    </w:p>
    <w:p w:rsidR="006A2F52" w:rsidRDefault="006A2F52" w:rsidP="001B6B40">
      <w:pPr>
        <w:jc w:val="both"/>
        <w:rPr>
          <w:rFonts w:ascii="Times New Roman" w:hAnsi="Times New Roman" w:cs="Times New Roman"/>
          <w:sz w:val="24"/>
          <w:szCs w:val="24"/>
        </w:rPr>
      </w:pPr>
    </w:p>
    <w:p w:rsidR="001B6B40" w:rsidRDefault="001B6B40" w:rsidP="001B6B40">
      <w:pPr>
        <w:jc w:val="both"/>
        <w:rPr>
          <w:rFonts w:ascii="Times New Roman" w:hAnsi="Times New Roman" w:cs="Times New Roman"/>
          <w:sz w:val="24"/>
          <w:szCs w:val="24"/>
        </w:rPr>
      </w:pPr>
    </w:p>
    <w:p w:rsidR="001B6B40" w:rsidRPr="001A7E25" w:rsidRDefault="001B6B40" w:rsidP="001A7E25">
      <w:pPr>
        <w:jc w:val="center"/>
        <w:rPr>
          <w:rFonts w:ascii="Times New Roman" w:hAnsi="Times New Roman" w:cs="Times New Roman"/>
          <w:b/>
          <w:smallCaps/>
          <w:sz w:val="28"/>
          <w:szCs w:val="24"/>
        </w:rPr>
      </w:pPr>
      <w:r w:rsidRPr="001A7E25">
        <w:rPr>
          <w:rFonts w:ascii="Times New Roman" w:hAnsi="Times New Roman" w:cs="Times New Roman"/>
          <w:b/>
          <w:smallCaps/>
          <w:sz w:val="28"/>
          <w:szCs w:val="24"/>
        </w:rPr>
        <w:t>Monitoring and Evaluation Plan</w:t>
      </w:r>
    </w:p>
    <w:p w:rsidR="00F14B75" w:rsidRDefault="00F14B75" w:rsidP="001B6B40">
      <w:pPr>
        <w:tabs>
          <w:tab w:val="left" w:pos="1440"/>
          <w:tab w:val="left" w:pos="3060"/>
        </w:tabs>
        <w:jc w:val="center"/>
        <w:outlineLvl w:val="0"/>
        <w:rPr>
          <w:rFonts w:ascii="Times New Roman" w:hAnsi="Times New Roman"/>
          <w:b/>
          <w:smallCaps/>
          <w:sz w:val="28"/>
          <w:szCs w:val="28"/>
        </w:rPr>
      </w:pPr>
    </w:p>
    <w:p w:rsidR="00F14B75" w:rsidRDefault="00F14B75" w:rsidP="001B6B40">
      <w:pPr>
        <w:tabs>
          <w:tab w:val="left" w:pos="1440"/>
          <w:tab w:val="left" w:pos="3060"/>
        </w:tabs>
        <w:jc w:val="center"/>
        <w:outlineLvl w:val="0"/>
        <w:rPr>
          <w:rFonts w:ascii="Times New Roman" w:hAnsi="Times New Roman"/>
          <w:b/>
          <w:smallCaps/>
          <w:sz w:val="28"/>
          <w:szCs w:val="28"/>
        </w:rPr>
      </w:pPr>
    </w:p>
    <w:p w:rsidR="00CF0297" w:rsidRDefault="00CF0297" w:rsidP="00CF0297">
      <w:pPr>
        <w:pStyle w:val="ColorfulList-Accent11"/>
        <w:ind w:left="0"/>
        <w:rPr>
          <w:rFonts w:ascii="Times New Roman" w:eastAsiaTheme="minorEastAsia" w:hAnsi="Times New Roman" w:cstheme="minorBidi"/>
          <w:b/>
          <w:smallCaps/>
          <w:sz w:val="28"/>
          <w:szCs w:val="28"/>
          <w:lang w:val="en-US" w:eastAsia="en-US"/>
        </w:rPr>
      </w:pPr>
    </w:p>
    <w:p w:rsidR="00CF0297" w:rsidRDefault="00CF0297" w:rsidP="00CF0297">
      <w:pPr>
        <w:pStyle w:val="ColorfulList-Accent11"/>
        <w:ind w:left="0"/>
        <w:rPr>
          <w:rFonts w:ascii="Times New Roman" w:eastAsiaTheme="minorEastAsia" w:hAnsi="Times New Roman" w:cstheme="minorBidi"/>
          <w:b/>
          <w:smallCaps/>
          <w:sz w:val="28"/>
          <w:szCs w:val="28"/>
          <w:lang w:val="en-US" w:eastAsia="en-US"/>
        </w:rPr>
      </w:pPr>
    </w:p>
    <w:p w:rsidR="00CF0297" w:rsidRDefault="00CF0297" w:rsidP="00CF0297">
      <w:pPr>
        <w:pStyle w:val="ColorfulList-Accent11"/>
        <w:ind w:left="0"/>
        <w:rPr>
          <w:rFonts w:ascii="Times New Roman" w:hAnsi="Times New Roman"/>
          <w:smallCaps/>
          <w:sz w:val="24"/>
          <w:szCs w:val="24"/>
          <w:lang w:val="en-US"/>
        </w:rPr>
      </w:pPr>
    </w:p>
    <w:p w:rsidR="009907B5" w:rsidRDefault="009907B5" w:rsidP="00CF0297">
      <w:pPr>
        <w:pStyle w:val="ColorfulList-Accent11"/>
        <w:ind w:left="0"/>
        <w:rPr>
          <w:rFonts w:ascii="Times New Roman" w:hAnsi="Times New Roman"/>
          <w:smallCaps/>
          <w:sz w:val="24"/>
          <w:szCs w:val="24"/>
          <w:lang w:val="en-US"/>
        </w:rPr>
      </w:pPr>
    </w:p>
    <w:p w:rsidR="009907B5" w:rsidRDefault="009907B5" w:rsidP="00CF0297">
      <w:pPr>
        <w:pStyle w:val="ColorfulList-Accent11"/>
        <w:ind w:left="0"/>
        <w:rPr>
          <w:rFonts w:ascii="Times New Roman" w:hAnsi="Times New Roman"/>
          <w:smallCaps/>
          <w:sz w:val="24"/>
          <w:szCs w:val="24"/>
          <w:lang w:val="en-US"/>
        </w:rPr>
      </w:pPr>
    </w:p>
    <w:p w:rsidR="009907B5" w:rsidRDefault="009907B5" w:rsidP="00CF0297">
      <w:pPr>
        <w:pStyle w:val="ColorfulList-Accent11"/>
        <w:ind w:left="0"/>
        <w:rPr>
          <w:rFonts w:ascii="Times New Roman" w:hAnsi="Times New Roman"/>
          <w:smallCaps/>
          <w:sz w:val="24"/>
          <w:szCs w:val="24"/>
          <w:lang w:val="en-US"/>
        </w:rPr>
      </w:pPr>
    </w:p>
    <w:p w:rsidR="009907B5" w:rsidRDefault="009907B5" w:rsidP="00CF0297">
      <w:pPr>
        <w:pStyle w:val="ColorfulList-Accent11"/>
        <w:ind w:left="0"/>
        <w:rPr>
          <w:rFonts w:ascii="Times New Roman" w:hAnsi="Times New Roman"/>
          <w:smallCaps/>
          <w:sz w:val="24"/>
          <w:szCs w:val="24"/>
          <w:lang w:val="en-US"/>
        </w:rPr>
      </w:pPr>
    </w:p>
    <w:sdt>
      <w:sdtPr>
        <w:rPr>
          <w:rFonts w:asciiTheme="minorHAnsi" w:eastAsiaTheme="minorEastAsia" w:hAnsiTheme="minorHAnsi" w:cstheme="minorBidi"/>
          <w:b w:val="0"/>
          <w:bCs w:val="0"/>
          <w:color w:val="auto"/>
          <w:sz w:val="22"/>
          <w:szCs w:val="22"/>
          <w:lang w:eastAsia="en-US"/>
        </w:rPr>
        <w:id w:val="85591979"/>
        <w:docPartObj>
          <w:docPartGallery w:val="Table of Contents"/>
          <w:docPartUnique/>
        </w:docPartObj>
      </w:sdtPr>
      <w:sdtEndPr>
        <w:rPr>
          <w:noProof/>
        </w:rPr>
      </w:sdtEndPr>
      <w:sdtContent>
        <w:p w:rsidR="009907B5" w:rsidRPr="0002686F" w:rsidRDefault="009907B5" w:rsidP="009907B5">
          <w:pPr>
            <w:pStyle w:val="TOCHeading"/>
            <w:jc w:val="center"/>
            <w:rPr>
              <w:rFonts w:ascii="Times New Roman" w:hAnsi="Times New Roman" w:cs="Times New Roman"/>
              <w:color w:val="auto"/>
            </w:rPr>
          </w:pPr>
          <w:r w:rsidRPr="0002686F">
            <w:rPr>
              <w:rFonts w:ascii="Times New Roman" w:hAnsi="Times New Roman" w:cs="Times New Roman"/>
              <w:color w:val="auto"/>
            </w:rPr>
            <w:t>TABLE OF CONTENTS</w:t>
          </w:r>
        </w:p>
        <w:p w:rsidR="009907B5" w:rsidRDefault="009907B5" w:rsidP="009907B5">
          <w:pPr>
            <w:pStyle w:val="TOC1"/>
            <w:tabs>
              <w:tab w:val="right" w:leader="dot" w:pos="9350"/>
            </w:tabs>
            <w:rPr>
              <w:rFonts w:asciiTheme="minorHAnsi" w:eastAsiaTheme="minorEastAsia" w:hAnsiTheme="minorHAnsi" w:cstheme="minorBidi"/>
              <w:b w:val="0"/>
              <w:i w:val="0"/>
              <w:noProof/>
              <w:color w:val="auto"/>
              <w:sz w:val="22"/>
              <w:szCs w:val="22"/>
            </w:rPr>
          </w:pPr>
          <w:r>
            <w:fldChar w:fldCharType="begin"/>
          </w:r>
          <w:r>
            <w:instrText xml:space="preserve"> TOC \o "1-3" \h \z \u </w:instrText>
          </w:r>
          <w:r>
            <w:fldChar w:fldCharType="separate"/>
          </w:r>
          <w:hyperlink w:anchor="_Toc379797501" w:history="1">
            <w:r w:rsidRPr="00CE2417">
              <w:rPr>
                <w:rStyle w:val="Hyperlink"/>
                <w:smallCaps/>
                <w:noProof/>
              </w:rPr>
              <w:t>ABBREVIATIONS</w:t>
            </w:r>
            <w:r>
              <w:rPr>
                <w:noProof/>
                <w:webHidden/>
              </w:rPr>
              <w:tab/>
            </w:r>
            <w:r w:rsidR="002C4004">
              <w:rPr>
                <w:noProof/>
                <w:webHidden/>
              </w:rPr>
              <w:t>3</w:t>
            </w:r>
          </w:hyperlink>
        </w:p>
        <w:p w:rsidR="009907B5" w:rsidRDefault="00A73D28" w:rsidP="009907B5">
          <w:pPr>
            <w:pStyle w:val="TOC1"/>
            <w:tabs>
              <w:tab w:val="left" w:pos="440"/>
              <w:tab w:val="right" w:leader="dot" w:pos="9350"/>
            </w:tabs>
            <w:rPr>
              <w:rFonts w:asciiTheme="minorHAnsi" w:eastAsiaTheme="minorEastAsia" w:hAnsiTheme="minorHAnsi" w:cstheme="minorBidi"/>
              <w:b w:val="0"/>
              <w:i w:val="0"/>
              <w:noProof/>
              <w:color w:val="auto"/>
              <w:sz w:val="22"/>
              <w:szCs w:val="22"/>
            </w:rPr>
          </w:pPr>
          <w:hyperlink w:anchor="_Toc379797502" w:history="1">
            <w:r w:rsidR="009907B5" w:rsidRPr="00CE2417">
              <w:rPr>
                <w:rStyle w:val="Hyperlink"/>
                <w:smallCaps/>
                <w:noProof/>
              </w:rPr>
              <w:t>I.</w:t>
            </w:r>
            <w:r w:rsidR="009907B5">
              <w:rPr>
                <w:rFonts w:asciiTheme="minorHAnsi" w:eastAsiaTheme="minorEastAsia" w:hAnsiTheme="minorHAnsi" w:cstheme="minorBidi"/>
                <w:b w:val="0"/>
                <w:i w:val="0"/>
                <w:noProof/>
                <w:color w:val="auto"/>
                <w:sz w:val="22"/>
                <w:szCs w:val="22"/>
              </w:rPr>
              <w:tab/>
            </w:r>
            <w:r w:rsidR="009907B5" w:rsidRPr="00CE2417">
              <w:rPr>
                <w:rStyle w:val="Hyperlink"/>
                <w:smallCaps/>
                <w:noProof/>
              </w:rPr>
              <w:t>INTRODUCTION</w:t>
            </w:r>
            <w:r w:rsidR="009907B5">
              <w:rPr>
                <w:noProof/>
                <w:webHidden/>
              </w:rPr>
              <w:tab/>
            </w:r>
            <w:r w:rsidR="002C4004">
              <w:rPr>
                <w:noProof/>
                <w:webHidden/>
              </w:rPr>
              <w:t>4</w:t>
            </w:r>
          </w:hyperlink>
        </w:p>
        <w:p w:rsidR="009907B5" w:rsidRDefault="00A73D28" w:rsidP="009907B5">
          <w:pPr>
            <w:pStyle w:val="TOC1"/>
            <w:tabs>
              <w:tab w:val="left" w:pos="660"/>
              <w:tab w:val="right" w:leader="dot" w:pos="9350"/>
            </w:tabs>
            <w:rPr>
              <w:rFonts w:asciiTheme="minorHAnsi" w:eastAsiaTheme="minorEastAsia" w:hAnsiTheme="minorHAnsi" w:cstheme="minorBidi"/>
              <w:b w:val="0"/>
              <w:i w:val="0"/>
              <w:noProof/>
              <w:color w:val="auto"/>
              <w:sz w:val="22"/>
              <w:szCs w:val="22"/>
            </w:rPr>
          </w:pPr>
          <w:hyperlink w:anchor="_Toc379797503" w:history="1">
            <w:r w:rsidR="009907B5" w:rsidRPr="00CE2417">
              <w:rPr>
                <w:rStyle w:val="Hyperlink"/>
                <w:rFonts w:ascii="Times New Roman Bold" w:hAnsi="Times New Roman Bold"/>
                <w:smallCaps/>
                <w:noProof/>
              </w:rPr>
              <w:t>A.</w:t>
            </w:r>
            <w:r w:rsidR="009907B5">
              <w:rPr>
                <w:rFonts w:asciiTheme="minorHAnsi" w:eastAsiaTheme="minorEastAsia" w:hAnsiTheme="minorHAnsi" w:cstheme="minorBidi"/>
                <w:b w:val="0"/>
                <w:i w:val="0"/>
                <w:noProof/>
                <w:color w:val="auto"/>
                <w:sz w:val="22"/>
                <w:szCs w:val="22"/>
              </w:rPr>
              <w:tab/>
            </w:r>
            <w:r w:rsidR="009907B5" w:rsidRPr="00CE2417">
              <w:rPr>
                <w:rStyle w:val="Hyperlink"/>
                <w:rFonts w:ascii="Times New Roman Bold" w:hAnsi="Times New Roman Bold"/>
                <w:smallCaps/>
                <w:noProof/>
              </w:rPr>
              <w:t>General framework</w:t>
            </w:r>
            <w:r w:rsidR="009907B5">
              <w:rPr>
                <w:noProof/>
                <w:webHidden/>
              </w:rPr>
              <w:tab/>
            </w:r>
            <w:r w:rsidR="002C4004">
              <w:rPr>
                <w:noProof/>
                <w:webHidden/>
              </w:rPr>
              <w:t>4</w:t>
            </w:r>
          </w:hyperlink>
        </w:p>
        <w:p w:rsidR="009907B5" w:rsidRDefault="00A73D28" w:rsidP="009907B5">
          <w:pPr>
            <w:pStyle w:val="TOC1"/>
            <w:tabs>
              <w:tab w:val="left" w:pos="660"/>
              <w:tab w:val="right" w:leader="dot" w:pos="9350"/>
            </w:tabs>
            <w:rPr>
              <w:rFonts w:asciiTheme="minorHAnsi" w:eastAsiaTheme="minorEastAsia" w:hAnsiTheme="minorHAnsi" w:cstheme="minorBidi"/>
              <w:b w:val="0"/>
              <w:i w:val="0"/>
              <w:noProof/>
              <w:color w:val="auto"/>
              <w:sz w:val="22"/>
              <w:szCs w:val="22"/>
            </w:rPr>
          </w:pPr>
          <w:hyperlink w:anchor="_Toc379797504" w:history="1">
            <w:r w:rsidR="009907B5" w:rsidRPr="00CE2417">
              <w:rPr>
                <w:rStyle w:val="Hyperlink"/>
                <w:rFonts w:ascii="Times New Roman Bold" w:hAnsi="Times New Roman Bold"/>
                <w:smallCaps/>
                <w:noProof/>
              </w:rPr>
              <w:t>B.</w:t>
            </w:r>
            <w:r w:rsidR="009907B5">
              <w:rPr>
                <w:rFonts w:asciiTheme="minorHAnsi" w:eastAsiaTheme="minorEastAsia" w:hAnsiTheme="minorHAnsi" w:cstheme="minorBidi"/>
                <w:b w:val="0"/>
                <w:i w:val="0"/>
                <w:noProof/>
                <w:color w:val="auto"/>
                <w:sz w:val="22"/>
                <w:szCs w:val="22"/>
              </w:rPr>
              <w:tab/>
            </w:r>
            <w:r w:rsidR="009907B5" w:rsidRPr="00CE2417">
              <w:rPr>
                <w:rStyle w:val="Hyperlink"/>
                <w:rFonts w:ascii="Times New Roman Bold" w:hAnsi="Times New Roman Bold"/>
                <w:smallCaps/>
                <w:noProof/>
              </w:rPr>
              <w:t>Scheme for implementation and monitoring</w:t>
            </w:r>
            <w:r w:rsidR="009907B5">
              <w:rPr>
                <w:noProof/>
                <w:webHidden/>
              </w:rPr>
              <w:tab/>
            </w:r>
            <w:r w:rsidR="002C4004">
              <w:rPr>
                <w:noProof/>
                <w:webHidden/>
              </w:rPr>
              <w:t>5</w:t>
            </w:r>
          </w:hyperlink>
        </w:p>
        <w:p w:rsidR="009907B5" w:rsidRDefault="00A73D28" w:rsidP="009907B5">
          <w:pPr>
            <w:pStyle w:val="TOC1"/>
            <w:tabs>
              <w:tab w:val="left" w:pos="660"/>
              <w:tab w:val="right" w:leader="dot" w:pos="9350"/>
            </w:tabs>
            <w:rPr>
              <w:rFonts w:asciiTheme="minorHAnsi" w:eastAsiaTheme="minorEastAsia" w:hAnsiTheme="minorHAnsi" w:cstheme="minorBidi"/>
              <w:b w:val="0"/>
              <w:i w:val="0"/>
              <w:noProof/>
              <w:color w:val="auto"/>
              <w:sz w:val="22"/>
              <w:szCs w:val="22"/>
            </w:rPr>
          </w:pPr>
          <w:hyperlink w:anchor="_Toc379797505" w:history="1">
            <w:r w:rsidR="009907B5" w:rsidRPr="00CE2417">
              <w:rPr>
                <w:rStyle w:val="Hyperlink"/>
                <w:smallCaps/>
                <w:noProof/>
              </w:rPr>
              <w:t>II.</w:t>
            </w:r>
            <w:r w:rsidR="009907B5">
              <w:rPr>
                <w:rFonts w:asciiTheme="minorHAnsi" w:eastAsiaTheme="minorEastAsia" w:hAnsiTheme="minorHAnsi" w:cstheme="minorBidi"/>
                <w:b w:val="0"/>
                <w:i w:val="0"/>
                <w:noProof/>
                <w:color w:val="auto"/>
                <w:sz w:val="22"/>
                <w:szCs w:val="22"/>
              </w:rPr>
              <w:tab/>
            </w:r>
            <w:r w:rsidR="009907B5" w:rsidRPr="00CE2417">
              <w:rPr>
                <w:rStyle w:val="Hyperlink"/>
                <w:smallCaps/>
                <w:noProof/>
              </w:rPr>
              <w:t>MONITORING</w:t>
            </w:r>
            <w:r w:rsidR="009907B5">
              <w:rPr>
                <w:noProof/>
                <w:webHidden/>
              </w:rPr>
              <w:tab/>
            </w:r>
            <w:r w:rsidR="002C4004">
              <w:rPr>
                <w:noProof/>
                <w:webHidden/>
              </w:rPr>
              <w:t>6</w:t>
            </w:r>
          </w:hyperlink>
        </w:p>
        <w:p w:rsidR="009907B5" w:rsidRDefault="00A73D28" w:rsidP="009907B5">
          <w:pPr>
            <w:pStyle w:val="TOC1"/>
            <w:tabs>
              <w:tab w:val="left" w:pos="660"/>
              <w:tab w:val="right" w:leader="dot" w:pos="9350"/>
            </w:tabs>
            <w:rPr>
              <w:rFonts w:asciiTheme="minorHAnsi" w:eastAsiaTheme="minorEastAsia" w:hAnsiTheme="minorHAnsi" w:cstheme="minorBidi"/>
              <w:b w:val="0"/>
              <w:i w:val="0"/>
              <w:noProof/>
              <w:color w:val="auto"/>
              <w:sz w:val="22"/>
              <w:szCs w:val="22"/>
            </w:rPr>
          </w:pPr>
          <w:hyperlink w:anchor="_Toc379797506" w:history="1">
            <w:r w:rsidR="009907B5" w:rsidRPr="00CE2417">
              <w:rPr>
                <w:rStyle w:val="Hyperlink"/>
                <w:rFonts w:ascii="Times New Roman Bold" w:hAnsi="Times New Roman Bold"/>
                <w:smallCaps/>
                <w:noProof/>
              </w:rPr>
              <w:t>A.</w:t>
            </w:r>
            <w:r w:rsidR="009907B5">
              <w:rPr>
                <w:rFonts w:asciiTheme="minorHAnsi" w:eastAsiaTheme="minorEastAsia" w:hAnsiTheme="minorHAnsi" w:cstheme="minorBidi"/>
                <w:b w:val="0"/>
                <w:i w:val="0"/>
                <w:noProof/>
                <w:color w:val="auto"/>
                <w:sz w:val="22"/>
                <w:szCs w:val="22"/>
              </w:rPr>
              <w:tab/>
            </w:r>
            <w:r w:rsidR="009907B5" w:rsidRPr="00CE2417">
              <w:rPr>
                <w:rStyle w:val="Hyperlink"/>
                <w:rFonts w:ascii="Times New Roman Bold" w:hAnsi="Times New Roman Bold"/>
                <w:smallCaps/>
                <w:noProof/>
              </w:rPr>
              <w:t>Indicators</w:t>
            </w:r>
            <w:r w:rsidR="009907B5">
              <w:rPr>
                <w:noProof/>
                <w:webHidden/>
              </w:rPr>
              <w:tab/>
            </w:r>
            <w:r w:rsidR="002C4004">
              <w:rPr>
                <w:noProof/>
                <w:webHidden/>
              </w:rPr>
              <w:t>6</w:t>
            </w:r>
          </w:hyperlink>
        </w:p>
        <w:p w:rsidR="009907B5" w:rsidRDefault="00A73D28" w:rsidP="009907B5">
          <w:pPr>
            <w:pStyle w:val="TOC1"/>
            <w:tabs>
              <w:tab w:val="left" w:pos="660"/>
              <w:tab w:val="right" w:leader="dot" w:pos="9350"/>
            </w:tabs>
            <w:rPr>
              <w:rFonts w:asciiTheme="minorHAnsi" w:eastAsiaTheme="minorEastAsia" w:hAnsiTheme="minorHAnsi" w:cstheme="minorBidi"/>
              <w:b w:val="0"/>
              <w:i w:val="0"/>
              <w:noProof/>
              <w:color w:val="auto"/>
              <w:sz w:val="22"/>
              <w:szCs w:val="22"/>
            </w:rPr>
          </w:pPr>
          <w:hyperlink w:anchor="_Toc379797508" w:history="1">
            <w:r w:rsidR="009907B5" w:rsidRPr="00CE2417">
              <w:rPr>
                <w:rStyle w:val="Hyperlink"/>
                <w:rFonts w:ascii="Times New Roman Bold" w:hAnsi="Times New Roman Bold"/>
                <w:smallCaps/>
                <w:noProof/>
              </w:rPr>
              <w:t>B.</w:t>
            </w:r>
            <w:r w:rsidR="009907B5">
              <w:rPr>
                <w:rFonts w:asciiTheme="minorHAnsi" w:eastAsiaTheme="minorEastAsia" w:hAnsiTheme="minorHAnsi" w:cstheme="minorBidi"/>
                <w:b w:val="0"/>
                <w:i w:val="0"/>
                <w:noProof/>
                <w:color w:val="auto"/>
                <w:sz w:val="22"/>
                <w:szCs w:val="22"/>
              </w:rPr>
              <w:tab/>
            </w:r>
            <w:r w:rsidR="009907B5" w:rsidRPr="00CE2417">
              <w:rPr>
                <w:rStyle w:val="Hyperlink"/>
                <w:rFonts w:ascii="Times New Roman Bold" w:hAnsi="Times New Roman Bold"/>
                <w:smallCaps/>
                <w:noProof/>
              </w:rPr>
              <w:t>Data Collection and Instruments</w:t>
            </w:r>
            <w:r w:rsidR="009907B5">
              <w:rPr>
                <w:noProof/>
                <w:webHidden/>
              </w:rPr>
              <w:tab/>
            </w:r>
          </w:hyperlink>
          <w:r w:rsidR="002C4004">
            <w:rPr>
              <w:noProof/>
            </w:rPr>
            <w:t>9</w:t>
          </w:r>
        </w:p>
        <w:p w:rsidR="009907B5" w:rsidRDefault="00A73D28" w:rsidP="009907B5">
          <w:pPr>
            <w:pStyle w:val="TOC1"/>
            <w:tabs>
              <w:tab w:val="left" w:pos="660"/>
              <w:tab w:val="right" w:leader="dot" w:pos="9350"/>
            </w:tabs>
            <w:rPr>
              <w:rFonts w:asciiTheme="minorHAnsi" w:eastAsiaTheme="minorEastAsia" w:hAnsiTheme="minorHAnsi" w:cstheme="minorBidi"/>
              <w:b w:val="0"/>
              <w:i w:val="0"/>
              <w:noProof/>
              <w:color w:val="auto"/>
              <w:sz w:val="22"/>
              <w:szCs w:val="22"/>
            </w:rPr>
          </w:pPr>
          <w:hyperlink w:anchor="_Toc379797509" w:history="1">
            <w:r w:rsidR="009907B5" w:rsidRPr="00CE2417">
              <w:rPr>
                <w:rStyle w:val="Hyperlink"/>
                <w:rFonts w:ascii="Times New Roman Bold" w:hAnsi="Times New Roman Bold"/>
                <w:smallCaps/>
                <w:noProof/>
              </w:rPr>
              <w:t>C.</w:t>
            </w:r>
            <w:r w:rsidR="009907B5">
              <w:rPr>
                <w:rFonts w:asciiTheme="minorHAnsi" w:eastAsiaTheme="minorEastAsia" w:hAnsiTheme="minorHAnsi" w:cstheme="minorBidi"/>
                <w:b w:val="0"/>
                <w:i w:val="0"/>
                <w:noProof/>
                <w:color w:val="auto"/>
                <w:sz w:val="22"/>
                <w:szCs w:val="22"/>
              </w:rPr>
              <w:tab/>
            </w:r>
            <w:r w:rsidR="009907B5" w:rsidRPr="00CE2417">
              <w:rPr>
                <w:rStyle w:val="Hyperlink"/>
                <w:rFonts w:ascii="Times New Roman Bold" w:hAnsi="Times New Roman Bold"/>
                <w:smallCaps/>
                <w:noProof/>
              </w:rPr>
              <w:t>Reporting Monitoring Results</w:t>
            </w:r>
            <w:r w:rsidR="009907B5">
              <w:rPr>
                <w:noProof/>
                <w:webHidden/>
              </w:rPr>
              <w:tab/>
            </w:r>
            <w:r w:rsidR="009907B5">
              <w:rPr>
                <w:noProof/>
                <w:webHidden/>
              </w:rPr>
              <w:fldChar w:fldCharType="begin"/>
            </w:r>
            <w:r w:rsidR="009907B5">
              <w:rPr>
                <w:noProof/>
                <w:webHidden/>
              </w:rPr>
              <w:instrText xml:space="preserve"> PAGEREF _Toc379797509 \h </w:instrText>
            </w:r>
            <w:r w:rsidR="009907B5">
              <w:rPr>
                <w:noProof/>
                <w:webHidden/>
              </w:rPr>
            </w:r>
            <w:r w:rsidR="009907B5">
              <w:rPr>
                <w:noProof/>
                <w:webHidden/>
              </w:rPr>
              <w:fldChar w:fldCharType="separate"/>
            </w:r>
            <w:r w:rsidR="009907B5">
              <w:rPr>
                <w:noProof/>
                <w:webHidden/>
              </w:rPr>
              <w:t>1</w:t>
            </w:r>
            <w:r w:rsidR="009907B5">
              <w:rPr>
                <w:noProof/>
                <w:webHidden/>
              </w:rPr>
              <w:fldChar w:fldCharType="end"/>
            </w:r>
          </w:hyperlink>
          <w:r w:rsidR="002C4004">
            <w:rPr>
              <w:noProof/>
            </w:rPr>
            <w:t>0</w:t>
          </w:r>
        </w:p>
        <w:p w:rsidR="009907B5" w:rsidRDefault="00A73D28" w:rsidP="009907B5">
          <w:pPr>
            <w:pStyle w:val="TOC1"/>
            <w:tabs>
              <w:tab w:val="left" w:pos="660"/>
              <w:tab w:val="right" w:leader="dot" w:pos="9350"/>
            </w:tabs>
            <w:rPr>
              <w:rFonts w:asciiTheme="minorHAnsi" w:eastAsiaTheme="minorEastAsia" w:hAnsiTheme="minorHAnsi" w:cstheme="minorBidi"/>
              <w:b w:val="0"/>
              <w:i w:val="0"/>
              <w:noProof/>
              <w:color w:val="auto"/>
              <w:sz w:val="22"/>
              <w:szCs w:val="22"/>
            </w:rPr>
          </w:pPr>
          <w:hyperlink w:anchor="_Toc379797510" w:history="1">
            <w:r w:rsidR="009907B5" w:rsidRPr="00CE2417">
              <w:rPr>
                <w:rStyle w:val="Hyperlink"/>
                <w:rFonts w:ascii="Times New Roman Bold" w:hAnsi="Times New Roman Bold"/>
                <w:smallCaps/>
                <w:noProof/>
              </w:rPr>
              <w:t>D.</w:t>
            </w:r>
            <w:r w:rsidR="009907B5">
              <w:rPr>
                <w:rFonts w:asciiTheme="minorHAnsi" w:eastAsiaTheme="minorEastAsia" w:hAnsiTheme="minorHAnsi" w:cstheme="minorBidi"/>
                <w:b w:val="0"/>
                <w:i w:val="0"/>
                <w:noProof/>
                <w:color w:val="auto"/>
                <w:sz w:val="22"/>
                <w:szCs w:val="22"/>
              </w:rPr>
              <w:tab/>
            </w:r>
            <w:r w:rsidR="009907B5" w:rsidRPr="00CE2417">
              <w:rPr>
                <w:rStyle w:val="Hyperlink"/>
                <w:rFonts w:ascii="Times New Roman Bold" w:hAnsi="Times New Roman Bold"/>
                <w:smallCaps/>
                <w:noProof/>
              </w:rPr>
              <w:t>Monitoring Coordination, Work Plan and Budget</w:t>
            </w:r>
            <w:r w:rsidR="009907B5">
              <w:rPr>
                <w:noProof/>
                <w:webHidden/>
              </w:rPr>
              <w:tab/>
            </w:r>
            <w:r w:rsidR="009907B5">
              <w:rPr>
                <w:noProof/>
                <w:webHidden/>
              </w:rPr>
              <w:fldChar w:fldCharType="begin"/>
            </w:r>
            <w:r w:rsidR="009907B5">
              <w:rPr>
                <w:noProof/>
                <w:webHidden/>
              </w:rPr>
              <w:instrText xml:space="preserve"> PAGEREF _Toc379797510 \h </w:instrText>
            </w:r>
            <w:r w:rsidR="009907B5">
              <w:rPr>
                <w:noProof/>
                <w:webHidden/>
              </w:rPr>
            </w:r>
            <w:r w:rsidR="009907B5">
              <w:rPr>
                <w:noProof/>
                <w:webHidden/>
              </w:rPr>
              <w:fldChar w:fldCharType="separate"/>
            </w:r>
            <w:r w:rsidR="009907B5">
              <w:rPr>
                <w:noProof/>
                <w:webHidden/>
              </w:rPr>
              <w:t>1</w:t>
            </w:r>
            <w:r w:rsidR="009907B5">
              <w:rPr>
                <w:noProof/>
                <w:webHidden/>
              </w:rPr>
              <w:fldChar w:fldCharType="end"/>
            </w:r>
          </w:hyperlink>
          <w:r w:rsidR="002C4004">
            <w:rPr>
              <w:noProof/>
            </w:rPr>
            <w:t>0</w:t>
          </w:r>
        </w:p>
        <w:p w:rsidR="009907B5" w:rsidRDefault="00A73D28" w:rsidP="009907B5">
          <w:pPr>
            <w:pStyle w:val="TOC1"/>
            <w:tabs>
              <w:tab w:val="left" w:pos="660"/>
              <w:tab w:val="right" w:leader="dot" w:pos="9350"/>
            </w:tabs>
            <w:rPr>
              <w:rFonts w:asciiTheme="minorHAnsi" w:eastAsiaTheme="minorEastAsia" w:hAnsiTheme="minorHAnsi" w:cstheme="minorBidi"/>
              <w:b w:val="0"/>
              <w:i w:val="0"/>
              <w:noProof/>
              <w:color w:val="auto"/>
              <w:sz w:val="22"/>
              <w:szCs w:val="22"/>
            </w:rPr>
          </w:pPr>
          <w:hyperlink w:anchor="_Toc379797511" w:history="1">
            <w:r w:rsidR="009907B5" w:rsidRPr="00CE2417">
              <w:rPr>
                <w:rStyle w:val="Hyperlink"/>
                <w:smallCaps/>
                <w:noProof/>
              </w:rPr>
              <w:t>III.</w:t>
            </w:r>
            <w:r w:rsidR="009907B5">
              <w:rPr>
                <w:rFonts w:asciiTheme="minorHAnsi" w:eastAsiaTheme="minorEastAsia" w:hAnsiTheme="minorHAnsi" w:cstheme="minorBidi"/>
                <w:b w:val="0"/>
                <w:i w:val="0"/>
                <w:noProof/>
                <w:color w:val="auto"/>
                <w:sz w:val="22"/>
                <w:szCs w:val="22"/>
              </w:rPr>
              <w:tab/>
            </w:r>
            <w:r w:rsidR="009907B5" w:rsidRPr="00CE2417">
              <w:rPr>
                <w:rStyle w:val="Hyperlink"/>
                <w:smallCaps/>
                <w:noProof/>
              </w:rPr>
              <w:t>EVALUATION</w:t>
            </w:r>
            <w:r w:rsidR="009907B5">
              <w:rPr>
                <w:noProof/>
                <w:webHidden/>
              </w:rPr>
              <w:tab/>
            </w:r>
            <w:r w:rsidR="009907B5">
              <w:rPr>
                <w:noProof/>
                <w:webHidden/>
              </w:rPr>
              <w:fldChar w:fldCharType="begin"/>
            </w:r>
            <w:r w:rsidR="009907B5">
              <w:rPr>
                <w:noProof/>
                <w:webHidden/>
              </w:rPr>
              <w:instrText xml:space="preserve"> PAGEREF _Toc379797511 \h </w:instrText>
            </w:r>
            <w:r w:rsidR="009907B5">
              <w:rPr>
                <w:noProof/>
                <w:webHidden/>
              </w:rPr>
            </w:r>
            <w:r w:rsidR="009907B5">
              <w:rPr>
                <w:noProof/>
                <w:webHidden/>
              </w:rPr>
              <w:fldChar w:fldCharType="separate"/>
            </w:r>
            <w:r w:rsidR="009907B5">
              <w:rPr>
                <w:noProof/>
                <w:webHidden/>
              </w:rPr>
              <w:t>1</w:t>
            </w:r>
            <w:r w:rsidR="009907B5">
              <w:rPr>
                <w:noProof/>
                <w:webHidden/>
              </w:rPr>
              <w:fldChar w:fldCharType="end"/>
            </w:r>
          </w:hyperlink>
          <w:r w:rsidR="002C4004">
            <w:rPr>
              <w:noProof/>
            </w:rPr>
            <w:t>2</w:t>
          </w:r>
        </w:p>
        <w:p w:rsidR="009907B5" w:rsidRDefault="00A73D28" w:rsidP="009907B5">
          <w:pPr>
            <w:pStyle w:val="TOC1"/>
            <w:tabs>
              <w:tab w:val="left" w:pos="660"/>
              <w:tab w:val="right" w:leader="dot" w:pos="9350"/>
            </w:tabs>
            <w:rPr>
              <w:rFonts w:asciiTheme="minorHAnsi" w:eastAsiaTheme="minorEastAsia" w:hAnsiTheme="minorHAnsi" w:cstheme="minorBidi"/>
              <w:b w:val="0"/>
              <w:i w:val="0"/>
              <w:noProof/>
              <w:color w:val="auto"/>
              <w:sz w:val="22"/>
              <w:szCs w:val="22"/>
            </w:rPr>
          </w:pPr>
          <w:hyperlink w:anchor="_Toc379797512" w:history="1">
            <w:r w:rsidR="009907B5" w:rsidRPr="00CE2417">
              <w:rPr>
                <w:rStyle w:val="Hyperlink"/>
                <w:rFonts w:ascii="Times New Roman Bold" w:hAnsi="Times New Roman Bold"/>
                <w:smallCaps/>
                <w:noProof/>
              </w:rPr>
              <w:t>A.</w:t>
            </w:r>
            <w:r w:rsidR="009907B5">
              <w:rPr>
                <w:rFonts w:asciiTheme="minorHAnsi" w:eastAsiaTheme="minorEastAsia" w:hAnsiTheme="minorHAnsi" w:cstheme="minorBidi"/>
                <w:b w:val="0"/>
                <w:i w:val="0"/>
                <w:noProof/>
                <w:color w:val="auto"/>
                <w:sz w:val="22"/>
                <w:szCs w:val="22"/>
              </w:rPr>
              <w:tab/>
            </w:r>
            <w:r w:rsidR="009907B5" w:rsidRPr="00CE2417">
              <w:rPr>
                <w:rStyle w:val="Hyperlink"/>
                <w:rFonts w:ascii="Times New Roman Bold" w:hAnsi="Times New Roman Bold"/>
                <w:smallCaps/>
                <w:noProof/>
              </w:rPr>
              <w:t>Main Evaluation Question(s)</w:t>
            </w:r>
            <w:r w:rsidR="009907B5">
              <w:rPr>
                <w:noProof/>
                <w:webHidden/>
              </w:rPr>
              <w:tab/>
            </w:r>
            <w:r w:rsidR="009907B5">
              <w:rPr>
                <w:noProof/>
                <w:webHidden/>
              </w:rPr>
              <w:fldChar w:fldCharType="begin"/>
            </w:r>
            <w:r w:rsidR="009907B5">
              <w:rPr>
                <w:noProof/>
                <w:webHidden/>
              </w:rPr>
              <w:instrText xml:space="preserve"> PAGEREF _Toc379797512 \h </w:instrText>
            </w:r>
            <w:r w:rsidR="009907B5">
              <w:rPr>
                <w:noProof/>
                <w:webHidden/>
              </w:rPr>
            </w:r>
            <w:r w:rsidR="009907B5">
              <w:rPr>
                <w:noProof/>
                <w:webHidden/>
              </w:rPr>
              <w:fldChar w:fldCharType="separate"/>
            </w:r>
            <w:r w:rsidR="009907B5">
              <w:rPr>
                <w:noProof/>
                <w:webHidden/>
              </w:rPr>
              <w:t>1</w:t>
            </w:r>
            <w:r w:rsidR="009907B5">
              <w:rPr>
                <w:noProof/>
                <w:webHidden/>
              </w:rPr>
              <w:fldChar w:fldCharType="end"/>
            </w:r>
          </w:hyperlink>
          <w:r w:rsidR="002C4004">
            <w:rPr>
              <w:noProof/>
            </w:rPr>
            <w:t>2</w:t>
          </w:r>
        </w:p>
        <w:p w:rsidR="009907B5" w:rsidRDefault="00A73D28" w:rsidP="009907B5">
          <w:pPr>
            <w:pStyle w:val="TOC1"/>
            <w:tabs>
              <w:tab w:val="left" w:pos="660"/>
              <w:tab w:val="right" w:leader="dot" w:pos="9350"/>
            </w:tabs>
            <w:rPr>
              <w:rFonts w:asciiTheme="minorHAnsi" w:eastAsiaTheme="minorEastAsia" w:hAnsiTheme="minorHAnsi" w:cstheme="minorBidi"/>
              <w:b w:val="0"/>
              <w:i w:val="0"/>
              <w:noProof/>
              <w:color w:val="auto"/>
              <w:sz w:val="22"/>
              <w:szCs w:val="22"/>
            </w:rPr>
          </w:pPr>
          <w:hyperlink w:anchor="_Toc379797514" w:history="1">
            <w:r w:rsidR="009907B5" w:rsidRPr="00CE2417">
              <w:rPr>
                <w:rStyle w:val="Hyperlink"/>
                <w:rFonts w:ascii="Times New Roman Bold" w:hAnsi="Times New Roman Bold"/>
                <w:smallCaps/>
                <w:noProof/>
              </w:rPr>
              <w:t>B.</w:t>
            </w:r>
            <w:r w:rsidR="009907B5">
              <w:rPr>
                <w:rFonts w:asciiTheme="minorHAnsi" w:eastAsiaTheme="minorEastAsia" w:hAnsiTheme="minorHAnsi" w:cstheme="minorBidi"/>
                <w:b w:val="0"/>
                <w:i w:val="0"/>
                <w:noProof/>
                <w:color w:val="auto"/>
                <w:sz w:val="22"/>
                <w:szCs w:val="22"/>
              </w:rPr>
              <w:tab/>
            </w:r>
            <w:r w:rsidR="009907B5" w:rsidRPr="00CE2417">
              <w:rPr>
                <w:rStyle w:val="Hyperlink"/>
                <w:rFonts w:ascii="Times New Roman Bold" w:hAnsi="Times New Roman Bold"/>
                <w:smallCaps/>
                <w:noProof/>
              </w:rPr>
              <w:t>Existing Knowledge (previous evaluations, ex ante economic analysis)</w:t>
            </w:r>
            <w:r w:rsidR="009907B5">
              <w:rPr>
                <w:noProof/>
                <w:webHidden/>
              </w:rPr>
              <w:tab/>
            </w:r>
            <w:r w:rsidR="009907B5">
              <w:rPr>
                <w:noProof/>
                <w:webHidden/>
              </w:rPr>
              <w:fldChar w:fldCharType="begin"/>
            </w:r>
            <w:r w:rsidR="009907B5">
              <w:rPr>
                <w:noProof/>
                <w:webHidden/>
              </w:rPr>
              <w:instrText xml:space="preserve"> PAGEREF _Toc379797514 \h </w:instrText>
            </w:r>
            <w:r w:rsidR="009907B5">
              <w:rPr>
                <w:noProof/>
                <w:webHidden/>
              </w:rPr>
            </w:r>
            <w:r w:rsidR="009907B5">
              <w:rPr>
                <w:noProof/>
                <w:webHidden/>
              </w:rPr>
              <w:fldChar w:fldCharType="separate"/>
            </w:r>
            <w:r w:rsidR="009907B5">
              <w:rPr>
                <w:noProof/>
                <w:webHidden/>
              </w:rPr>
              <w:t>1</w:t>
            </w:r>
            <w:r w:rsidR="009907B5">
              <w:rPr>
                <w:noProof/>
                <w:webHidden/>
              </w:rPr>
              <w:fldChar w:fldCharType="end"/>
            </w:r>
          </w:hyperlink>
          <w:r w:rsidR="002C4004">
            <w:rPr>
              <w:noProof/>
            </w:rPr>
            <w:t>2</w:t>
          </w:r>
        </w:p>
        <w:p w:rsidR="009907B5" w:rsidRDefault="00A73D28" w:rsidP="009907B5">
          <w:pPr>
            <w:pStyle w:val="TOC1"/>
            <w:tabs>
              <w:tab w:val="left" w:pos="660"/>
              <w:tab w:val="right" w:leader="dot" w:pos="9350"/>
            </w:tabs>
            <w:rPr>
              <w:rFonts w:asciiTheme="minorHAnsi" w:eastAsiaTheme="minorEastAsia" w:hAnsiTheme="minorHAnsi" w:cstheme="minorBidi"/>
              <w:b w:val="0"/>
              <w:i w:val="0"/>
              <w:noProof/>
              <w:color w:val="auto"/>
              <w:sz w:val="22"/>
              <w:szCs w:val="22"/>
            </w:rPr>
          </w:pPr>
          <w:hyperlink w:anchor="_Toc379797515" w:history="1">
            <w:r w:rsidR="009907B5" w:rsidRPr="00CE2417">
              <w:rPr>
                <w:rStyle w:val="Hyperlink"/>
                <w:rFonts w:ascii="Times New Roman Bold" w:hAnsi="Times New Roman Bold"/>
                <w:smallCaps/>
                <w:noProof/>
              </w:rPr>
              <w:t>C.</w:t>
            </w:r>
            <w:r w:rsidR="009907B5">
              <w:rPr>
                <w:rFonts w:asciiTheme="minorHAnsi" w:eastAsiaTheme="minorEastAsia" w:hAnsiTheme="minorHAnsi" w:cstheme="minorBidi"/>
                <w:b w:val="0"/>
                <w:i w:val="0"/>
                <w:noProof/>
                <w:color w:val="auto"/>
                <w:sz w:val="22"/>
                <w:szCs w:val="22"/>
              </w:rPr>
              <w:tab/>
            </w:r>
            <w:r w:rsidR="009907B5" w:rsidRPr="00CE2417">
              <w:rPr>
                <w:rStyle w:val="Hyperlink"/>
                <w:rFonts w:ascii="Times New Roman Bold" w:hAnsi="Times New Roman Bold"/>
                <w:smallCaps/>
                <w:noProof/>
              </w:rPr>
              <w:t>Key Outcome Indicators</w:t>
            </w:r>
            <w:r w:rsidR="009907B5">
              <w:rPr>
                <w:noProof/>
                <w:webHidden/>
              </w:rPr>
              <w:tab/>
            </w:r>
            <w:r w:rsidR="009907B5">
              <w:rPr>
                <w:noProof/>
                <w:webHidden/>
              </w:rPr>
              <w:fldChar w:fldCharType="begin"/>
            </w:r>
            <w:r w:rsidR="009907B5">
              <w:rPr>
                <w:noProof/>
                <w:webHidden/>
              </w:rPr>
              <w:instrText xml:space="preserve"> PAGEREF _Toc379797515 \h </w:instrText>
            </w:r>
            <w:r w:rsidR="009907B5">
              <w:rPr>
                <w:noProof/>
                <w:webHidden/>
              </w:rPr>
            </w:r>
            <w:r w:rsidR="009907B5">
              <w:rPr>
                <w:noProof/>
                <w:webHidden/>
              </w:rPr>
              <w:fldChar w:fldCharType="separate"/>
            </w:r>
            <w:r w:rsidR="009907B5">
              <w:rPr>
                <w:noProof/>
                <w:webHidden/>
              </w:rPr>
              <w:t>1</w:t>
            </w:r>
            <w:r w:rsidR="009907B5">
              <w:rPr>
                <w:noProof/>
                <w:webHidden/>
              </w:rPr>
              <w:fldChar w:fldCharType="end"/>
            </w:r>
          </w:hyperlink>
          <w:r w:rsidR="002C4004">
            <w:rPr>
              <w:noProof/>
            </w:rPr>
            <w:t>4</w:t>
          </w:r>
        </w:p>
        <w:p w:rsidR="009907B5" w:rsidRDefault="00A73D28" w:rsidP="009907B5">
          <w:pPr>
            <w:pStyle w:val="TOC1"/>
            <w:tabs>
              <w:tab w:val="left" w:pos="660"/>
              <w:tab w:val="right" w:leader="dot" w:pos="9350"/>
            </w:tabs>
            <w:rPr>
              <w:rFonts w:asciiTheme="minorHAnsi" w:eastAsiaTheme="minorEastAsia" w:hAnsiTheme="minorHAnsi" w:cstheme="minorBidi"/>
              <w:b w:val="0"/>
              <w:i w:val="0"/>
              <w:noProof/>
              <w:color w:val="auto"/>
              <w:sz w:val="22"/>
              <w:szCs w:val="22"/>
            </w:rPr>
          </w:pPr>
          <w:hyperlink w:anchor="_Toc379797516" w:history="1">
            <w:r w:rsidR="009907B5" w:rsidRPr="00CE2417">
              <w:rPr>
                <w:rStyle w:val="Hyperlink"/>
                <w:rFonts w:ascii="Times New Roman Bold" w:hAnsi="Times New Roman Bold"/>
                <w:smallCaps/>
                <w:noProof/>
              </w:rPr>
              <w:t>D.</w:t>
            </w:r>
            <w:r w:rsidR="009907B5">
              <w:rPr>
                <w:rFonts w:asciiTheme="minorHAnsi" w:eastAsiaTheme="minorEastAsia" w:hAnsiTheme="minorHAnsi" w:cstheme="minorBidi"/>
                <w:b w:val="0"/>
                <w:i w:val="0"/>
                <w:noProof/>
                <w:color w:val="auto"/>
                <w:sz w:val="22"/>
                <w:szCs w:val="22"/>
              </w:rPr>
              <w:tab/>
            </w:r>
            <w:r w:rsidR="009907B5" w:rsidRPr="00CE2417">
              <w:rPr>
                <w:rStyle w:val="Hyperlink"/>
                <w:rFonts w:ascii="Times New Roman Bold" w:hAnsi="Times New Roman Bold"/>
                <w:smallCaps/>
                <w:noProof/>
              </w:rPr>
              <w:t>Evaluation Methodology</w:t>
            </w:r>
            <w:r w:rsidR="009907B5">
              <w:rPr>
                <w:noProof/>
                <w:webHidden/>
              </w:rPr>
              <w:tab/>
            </w:r>
            <w:r w:rsidR="009907B5">
              <w:rPr>
                <w:noProof/>
                <w:webHidden/>
              </w:rPr>
              <w:fldChar w:fldCharType="begin"/>
            </w:r>
            <w:r w:rsidR="009907B5">
              <w:rPr>
                <w:noProof/>
                <w:webHidden/>
              </w:rPr>
              <w:instrText xml:space="preserve"> PAGEREF _Toc379797516 \h </w:instrText>
            </w:r>
            <w:r w:rsidR="009907B5">
              <w:rPr>
                <w:noProof/>
                <w:webHidden/>
              </w:rPr>
            </w:r>
            <w:r w:rsidR="009907B5">
              <w:rPr>
                <w:noProof/>
                <w:webHidden/>
              </w:rPr>
              <w:fldChar w:fldCharType="separate"/>
            </w:r>
            <w:r w:rsidR="009907B5">
              <w:rPr>
                <w:noProof/>
                <w:webHidden/>
              </w:rPr>
              <w:t>1</w:t>
            </w:r>
            <w:r w:rsidR="009907B5">
              <w:rPr>
                <w:noProof/>
                <w:webHidden/>
              </w:rPr>
              <w:fldChar w:fldCharType="end"/>
            </w:r>
          </w:hyperlink>
          <w:r w:rsidR="002C4004">
            <w:rPr>
              <w:noProof/>
            </w:rPr>
            <w:t>6</w:t>
          </w:r>
        </w:p>
        <w:p w:rsidR="009907B5" w:rsidRDefault="00A73D28" w:rsidP="009907B5">
          <w:pPr>
            <w:pStyle w:val="TOC1"/>
            <w:tabs>
              <w:tab w:val="left" w:pos="660"/>
              <w:tab w:val="right" w:leader="dot" w:pos="9350"/>
            </w:tabs>
            <w:rPr>
              <w:rFonts w:asciiTheme="minorHAnsi" w:eastAsiaTheme="minorEastAsia" w:hAnsiTheme="minorHAnsi" w:cstheme="minorBidi"/>
              <w:b w:val="0"/>
              <w:i w:val="0"/>
              <w:noProof/>
              <w:color w:val="auto"/>
              <w:sz w:val="22"/>
              <w:szCs w:val="22"/>
            </w:rPr>
          </w:pPr>
          <w:hyperlink w:anchor="_Toc379797566" w:history="1">
            <w:r w:rsidR="009907B5" w:rsidRPr="00CE2417">
              <w:rPr>
                <w:rStyle w:val="Hyperlink"/>
                <w:rFonts w:ascii="Times New Roman Bold" w:hAnsi="Times New Roman Bold"/>
                <w:smallCaps/>
                <w:noProof/>
              </w:rPr>
              <w:t>E.</w:t>
            </w:r>
            <w:r w:rsidR="009907B5">
              <w:rPr>
                <w:rFonts w:asciiTheme="minorHAnsi" w:eastAsiaTheme="minorEastAsia" w:hAnsiTheme="minorHAnsi" w:cstheme="minorBidi"/>
                <w:b w:val="0"/>
                <w:i w:val="0"/>
                <w:noProof/>
                <w:color w:val="auto"/>
                <w:sz w:val="22"/>
                <w:szCs w:val="22"/>
              </w:rPr>
              <w:tab/>
            </w:r>
            <w:r w:rsidR="009907B5" w:rsidRPr="00CE2417">
              <w:rPr>
                <w:rStyle w:val="Hyperlink"/>
                <w:rFonts w:ascii="Times New Roman Bold" w:hAnsi="Times New Roman Bold"/>
                <w:smallCaps/>
                <w:noProof/>
              </w:rPr>
              <w:t>Technical Aspects of Selected Methology</w:t>
            </w:r>
            <w:r w:rsidR="009907B5">
              <w:rPr>
                <w:noProof/>
                <w:webHidden/>
              </w:rPr>
              <w:tab/>
            </w:r>
          </w:hyperlink>
          <w:r w:rsidR="002C4004">
            <w:rPr>
              <w:noProof/>
            </w:rPr>
            <w:t>19</w:t>
          </w:r>
        </w:p>
        <w:p w:rsidR="009907B5" w:rsidRDefault="00A73D28" w:rsidP="009907B5">
          <w:pPr>
            <w:pStyle w:val="TOC1"/>
            <w:tabs>
              <w:tab w:val="left" w:pos="440"/>
              <w:tab w:val="right" w:leader="dot" w:pos="9350"/>
            </w:tabs>
            <w:rPr>
              <w:rFonts w:asciiTheme="minorHAnsi" w:eastAsiaTheme="minorEastAsia" w:hAnsiTheme="minorHAnsi" w:cstheme="minorBidi"/>
              <w:b w:val="0"/>
              <w:i w:val="0"/>
              <w:noProof/>
              <w:color w:val="auto"/>
              <w:sz w:val="22"/>
              <w:szCs w:val="22"/>
            </w:rPr>
          </w:pPr>
          <w:hyperlink w:anchor="_Toc379797567" w:history="1">
            <w:r w:rsidR="009907B5" w:rsidRPr="00CE2417">
              <w:rPr>
                <w:rStyle w:val="Hyperlink"/>
                <w:rFonts w:ascii="Times New Roman Bold" w:hAnsi="Times New Roman Bold"/>
                <w:smallCaps/>
                <w:noProof/>
              </w:rPr>
              <w:t>F.</w:t>
            </w:r>
            <w:r w:rsidR="009907B5">
              <w:rPr>
                <w:rFonts w:asciiTheme="minorHAnsi" w:eastAsiaTheme="minorEastAsia" w:hAnsiTheme="minorHAnsi" w:cstheme="minorBidi"/>
                <w:b w:val="0"/>
                <w:i w:val="0"/>
                <w:noProof/>
                <w:color w:val="auto"/>
                <w:sz w:val="22"/>
                <w:szCs w:val="22"/>
              </w:rPr>
              <w:tab/>
            </w:r>
            <w:r w:rsidR="009907B5" w:rsidRPr="00CE2417">
              <w:rPr>
                <w:rStyle w:val="Hyperlink"/>
                <w:rFonts w:ascii="Times New Roman Bold" w:hAnsi="Times New Roman Bold"/>
                <w:smallCaps/>
                <w:noProof/>
              </w:rPr>
              <w:t>Reporting Evaluation Results</w:t>
            </w:r>
            <w:r w:rsidR="009907B5">
              <w:rPr>
                <w:noProof/>
                <w:webHidden/>
              </w:rPr>
              <w:tab/>
            </w:r>
          </w:hyperlink>
          <w:r w:rsidR="002C4004">
            <w:rPr>
              <w:noProof/>
            </w:rPr>
            <w:t>19</w:t>
          </w:r>
        </w:p>
        <w:p w:rsidR="009907B5" w:rsidRDefault="00A73D28" w:rsidP="009907B5">
          <w:pPr>
            <w:pStyle w:val="TOC1"/>
            <w:tabs>
              <w:tab w:val="left" w:pos="660"/>
              <w:tab w:val="right" w:leader="dot" w:pos="9350"/>
            </w:tabs>
            <w:rPr>
              <w:rFonts w:asciiTheme="minorHAnsi" w:eastAsiaTheme="minorEastAsia" w:hAnsiTheme="minorHAnsi" w:cstheme="minorBidi"/>
              <w:b w:val="0"/>
              <w:i w:val="0"/>
              <w:noProof/>
              <w:color w:val="auto"/>
              <w:sz w:val="22"/>
              <w:szCs w:val="22"/>
            </w:rPr>
          </w:pPr>
          <w:hyperlink w:anchor="_Toc379797568" w:history="1">
            <w:r w:rsidR="009907B5" w:rsidRPr="00CE2417">
              <w:rPr>
                <w:rStyle w:val="Hyperlink"/>
                <w:rFonts w:ascii="Times New Roman Bold" w:hAnsi="Times New Roman Bold"/>
                <w:smallCaps/>
                <w:noProof/>
              </w:rPr>
              <w:t>G.</w:t>
            </w:r>
            <w:r w:rsidR="009907B5">
              <w:rPr>
                <w:rFonts w:asciiTheme="minorHAnsi" w:eastAsiaTheme="minorEastAsia" w:hAnsiTheme="minorHAnsi" w:cstheme="minorBidi"/>
                <w:b w:val="0"/>
                <w:i w:val="0"/>
                <w:noProof/>
                <w:color w:val="auto"/>
                <w:sz w:val="22"/>
                <w:szCs w:val="22"/>
              </w:rPr>
              <w:tab/>
            </w:r>
            <w:r w:rsidR="009907B5" w:rsidRPr="00CE2417">
              <w:rPr>
                <w:rStyle w:val="Hyperlink"/>
                <w:rFonts w:ascii="Times New Roman Bold" w:hAnsi="Times New Roman Bold"/>
                <w:smallCaps/>
                <w:noProof/>
              </w:rPr>
              <w:t>Complementary evaluation (optional)</w:t>
            </w:r>
            <w:r w:rsidR="009907B5">
              <w:rPr>
                <w:noProof/>
                <w:webHidden/>
              </w:rPr>
              <w:tab/>
            </w:r>
          </w:hyperlink>
          <w:r w:rsidR="002C4004">
            <w:rPr>
              <w:noProof/>
            </w:rPr>
            <w:t>19</w:t>
          </w:r>
        </w:p>
        <w:p w:rsidR="009907B5" w:rsidRDefault="00A73D28" w:rsidP="009907B5">
          <w:pPr>
            <w:pStyle w:val="TOC1"/>
            <w:tabs>
              <w:tab w:val="left" w:pos="660"/>
              <w:tab w:val="right" w:leader="dot" w:pos="9350"/>
            </w:tabs>
            <w:rPr>
              <w:rFonts w:asciiTheme="minorHAnsi" w:eastAsiaTheme="minorEastAsia" w:hAnsiTheme="minorHAnsi" w:cstheme="minorBidi"/>
              <w:b w:val="0"/>
              <w:i w:val="0"/>
              <w:noProof/>
              <w:color w:val="auto"/>
              <w:sz w:val="22"/>
              <w:szCs w:val="22"/>
            </w:rPr>
          </w:pPr>
          <w:hyperlink w:anchor="_Toc379797569" w:history="1">
            <w:r w:rsidR="009907B5" w:rsidRPr="00CE2417">
              <w:rPr>
                <w:rStyle w:val="Hyperlink"/>
                <w:rFonts w:ascii="Times New Roman Bold" w:hAnsi="Times New Roman Bold"/>
                <w:smallCaps/>
                <w:noProof/>
              </w:rPr>
              <w:t>H.</w:t>
            </w:r>
            <w:r w:rsidR="009907B5">
              <w:rPr>
                <w:rFonts w:asciiTheme="minorHAnsi" w:eastAsiaTheme="minorEastAsia" w:hAnsiTheme="minorHAnsi" w:cstheme="minorBidi"/>
                <w:b w:val="0"/>
                <w:i w:val="0"/>
                <w:noProof/>
                <w:color w:val="auto"/>
                <w:sz w:val="22"/>
                <w:szCs w:val="22"/>
              </w:rPr>
              <w:tab/>
            </w:r>
            <w:r w:rsidR="009907B5" w:rsidRPr="00CE2417">
              <w:rPr>
                <w:rStyle w:val="Hyperlink"/>
                <w:rFonts w:ascii="Times New Roman Bold" w:hAnsi="Times New Roman Bold"/>
                <w:smallCaps/>
                <w:noProof/>
              </w:rPr>
              <w:t>Evaluation Coordination, Work Plan and Budget</w:t>
            </w:r>
            <w:r w:rsidR="009907B5">
              <w:rPr>
                <w:noProof/>
                <w:webHidden/>
              </w:rPr>
              <w:tab/>
            </w:r>
            <w:r w:rsidR="009907B5">
              <w:rPr>
                <w:noProof/>
                <w:webHidden/>
              </w:rPr>
              <w:fldChar w:fldCharType="begin"/>
            </w:r>
            <w:r w:rsidR="009907B5">
              <w:rPr>
                <w:noProof/>
                <w:webHidden/>
              </w:rPr>
              <w:instrText xml:space="preserve"> PAGEREF _Toc379797569 \h </w:instrText>
            </w:r>
            <w:r w:rsidR="009907B5">
              <w:rPr>
                <w:noProof/>
                <w:webHidden/>
              </w:rPr>
            </w:r>
            <w:r w:rsidR="009907B5">
              <w:rPr>
                <w:noProof/>
                <w:webHidden/>
              </w:rPr>
              <w:fldChar w:fldCharType="separate"/>
            </w:r>
            <w:r w:rsidR="009907B5">
              <w:rPr>
                <w:noProof/>
                <w:webHidden/>
              </w:rPr>
              <w:t>2</w:t>
            </w:r>
            <w:r w:rsidR="002C4004">
              <w:rPr>
                <w:noProof/>
                <w:webHidden/>
              </w:rPr>
              <w:t>0</w:t>
            </w:r>
            <w:r w:rsidR="009907B5">
              <w:rPr>
                <w:noProof/>
                <w:webHidden/>
              </w:rPr>
              <w:fldChar w:fldCharType="end"/>
            </w:r>
          </w:hyperlink>
        </w:p>
        <w:p w:rsidR="009907B5" w:rsidRDefault="009907B5" w:rsidP="009907B5">
          <w:pPr>
            <w:rPr>
              <w:noProof/>
            </w:rPr>
          </w:pPr>
          <w:r>
            <w:rPr>
              <w:b/>
              <w:bCs/>
              <w:noProof/>
            </w:rPr>
            <w:fldChar w:fldCharType="end"/>
          </w:r>
        </w:p>
      </w:sdtContent>
    </w:sdt>
    <w:p w:rsidR="00CF0297" w:rsidRDefault="00CF0297" w:rsidP="00737205">
      <w:pPr>
        <w:pStyle w:val="ColorfulList-Accent11"/>
        <w:ind w:left="1080"/>
        <w:jc w:val="center"/>
        <w:rPr>
          <w:rFonts w:ascii="Times New Roman" w:hAnsi="Times New Roman"/>
          <w:smallCaps/>
          <w:sz w:val="24"/>
          <w:szCs w:val="24"/>
          <w:lang w:val="es-AR"/>
        </w:rPr>
      </w:pPr>
    </w:p>
    <w:p w:rsidR="00CF0297" w:rsidRDefault="00CF0297" w:rsidP="00737205">
      <w:pPr>
        <w:pStyle w:val="ColorfulList-Accent11"/>
        <w:ind w:left="1080"/>
        <w:jc w:val="center"/>
        <w:rPr>
          <w:rFonts w:ascii="Times New Roman" w:hAnsi="Times New Roman"/>
          <w:smallCaps/>
          <w:sz w:val="24"/>
          <w:szCs w:val="24"/>
          <w:lang w:val="es-AR"/>
        </w:rPr>
      </w:pPr>
    </w:p>
    <w:p w:rsidR="00F6686A" w:rsidRDefault="00F6686A" w:rsidP="00737205">
      <w:pPr>
        <w:pStyle w:val="ColorfulList-Accent11"/>
        <w:ind w:left="1080"/>
        <w:jc w:val="center"/>
        <w:rPr>
          <w:rFonts w:ascii="Times New Roman" w:hAnsi="Times New Roman"/>
          <w:smallCaps/>
          <w:sz w:val="24"/>
          <w:szCs w:val="24"/>
          <w:lang w:val="es-AR"/>
        </w:rPr>
      </w:pPr>
    </w:p>
    <w:p w:rsidR="00F6686A" w:rsidRDefault="00F6686A" w:rsidP="00737205">
      <w:pPr>
        <w:pStyle w:val="ColorfulList-Accent11"/>
        <w:ind w:left="1080"/>
        <w:jc w:val="center"/>
        <w:rPr>
          <w:rFonts w:ascii="Times New Roman" w:hAnsi="Times New Roman"/>
          <w:smallCaps/>
          <w:sz w:val="24"/>
          <w:szCs w:val="24"/>
          <w:lang w:val="es-AR"/>
        </w:rPr>
      </w:pPr>
    </w:p>
    <w:p w:rsidR="00F6686A" w:rsidRDefault="00F6686A" w:rsidP="00737205">
      <w:pPr>
        <w:pStyle w:val="ColorfulList-Accent11"/>
        <w:ind w:left="1080"/>
        <w:jc w:val="center"/>
        <w:rPr>
          <w:rFonts w:ascii="Times New Roman" w:hAnsi="Times New Roman"/>
          <w:smallCaps/>
          <w:sz w:val="24"/>
          <w:szCs w:val="24"/>
          <w:lang w:val="es-AR"/>
        </w:rPr>
      </w:pPr>
    </w:p>
    <w:p w:rsidR="00F6686A" w:rsidRDefault="00F6686A" w:rsidP="00737205">
      <w:pPr>
        <w:pStyle w:val="ColorfulList-Accent11"/>
        <w:ind w:left="1080"/>
        <w:jc w:val="center"/>
        <w:rPr>
          <w:rFonts w:ascii="Times New Roman" w:hAnsi="Times New Roman"/>
          <w:smallCaps/>
          <w:sz w:val="24"/>
          <w:szCs w:val="24"/>
          <w:lang w:val="es-AR"/>
        </w:rPr>
      </w:pPr>
    </w:p>
    <w:p w:rsidR="00F6686A" w:rsidRDefault="00F6686A" w:rsidP="00737205">
      <w:pPr>
        <w:pStyle w:val="ColorfulList-Accent11"/>
        <w:ind w:left="1080"/>
        <w:jc w:val="center"/>
        <w:rPr>
          <w:rFonts w:ascii="Times New Roman" w:hAnsi="Times New Roman"/>
          <w:smallCaps/>
          <w:sz w:val="24"/>
          <w:szCs w:val="24"/>
          <w:lang w:val="es-AR"/>
        </w:rPr>
      </w:pPr>
    </w:p>
    <w:p w:rsidR="00F6686A" w:rsidRDefault="00F6686A" w:rsidP="00737205">
      <w:pPr>
        <w:pStyle w:val="ColorfulList-Accent11"/>
        <w:ind w:left="1080"/>
        <w:jc w:val="center"/>
        <w:rPr>
          <w:rFonts w:ascii="Times New Roman" w:hAnsi="Times New Roman"/>
          <w:smallCaps/>
          <w:sz w:val="24"/>
          <w:szCs w:val="24"/>
          <w:lang w:val="es-AR"/>
        </w:rPr>
      </w:pPr>
    </w:p>
    <w:p w:rsidR="00F6686A" w:rsidRDefault="00F6686A" w:rsidP="00737205">
      <w:pPr>
        <w:pStyle w:val="ColorfulList-Accent11"/>
        <w:ind w:left="1080"/>
        <w:jc w:val="center"/>
        <w:rPr>
          <w:rFonts w:ascii="Times New Roman" w:hAnsi="Times New Roman"/>
          <w:smallCaps/>
          <w:sz w:val="24"/>
          <w:szCs w:val="24"/>
          <w:lang w:val="es-AR"/>
        </w:rPr>
      </w:pPr>
    </w:p>
    <w:p w:rsidR="00F6686A" w:rsidRDefault="00F6686A" w:rsidP="00737205">
      <w:pPr>
        <w:pStyle w:val="ColorfulList-Accent11"/>
        <w:ind w:left="1080"/>
        <w:jc w:val="center"/>
        <w:rPr>
          <w:rFonts w:ascii="Times New Roman" w:hAnsi="Times New Roman"/>
          <w:smallCaps/>
          <w:sz w:val="24"/>
          <w:szCs w:val="24"/>
          <w:lang w:val="es-AR"/>
        </w:rPr>
      </w:pPr>
    </w:p>
    <w:p w:rsidR="00F6686A" w:rsidRDefault="00F6686A" w:rsidP="00FE3774">
      <w:pPr>
        <w:pStyle w:val="ColorfulList-Accent11"/>
        <w:ind w:left="0"/>
        <w:rPr>
          <w:rFonts w:ascii="Times New Roman" w:hAnsi="Times New Roman"/>
          <w:smallCaps/>
          <w:sz w:val="24"/>
          <w:szCs w:val="24"/>
          <w:lang w:val="es-AR"/>
        </w:rPr>
      </w:pPr>
    </w:p>
    <w:p w:rsidR="00FE3774" w:rsidRDefault="00FE3774" w:rsidP="00FE3774">
      <w:pPr>
        <w:pStyle w:val="ColorfulList-Accent11"/>
        <w:ind w:left="0"/>
        <w:rPr>
          <w:rFonts w:ascii="Times New Roman" w:hAnsi="Times New Roman"/>
          <w:smallCaps/>
          <w:sz w:val="24"/>
          <w:szCs w:val="24"/>
          <w:lang w:val="es-AR"/>
        </w:rPr>
      </w:pPr>
    </w:p>
    <w:p w:rsidR="00F6686A" w:rsidRPr="00FD3D26" w:rsidRDefault="00F6686A" w:rsidP="00FD3D26">
      <w:pPr>
        <w:pStyle w:val="ListParagraph"/>
        <w:tabs>
          <w:tab w:val="left" w:pos="1440"/>
          <w:tab w:val="left" w:pos="3060"/>
        </w:tabs>
        <w:ind w:left="1425"/>
        <w:jc w:val="center"/>
        <w:outlineLvl w:val="0"/>
        <w:rPr>
          <w:rFonts w:ascii="Times New Roman" w:hAnsi="Times New Roman"/>
          <w:b/>
          <w:smallCaps/>
          <w:sz w:val="28"/>
          <w:szCs w:val="28"/>
        </w:rPr>
      </w:pPr>
      <w:bookmarkStart w:id="0" w:name="_Toc375150051"/>
      <w:r w:rsidRPr="00FD3D26">
        <w:rPr>
          <w:rFonts w:ascii="Times New Roman" w:hAnsi="Times New Roman"/>
          <w:b/>
          <w:smallCaps/>
          <w:sz w:val="28"/>
          <w:szCs w:val="28"/>
        </w:rPr>
        <w:t>ABBREVIATIONS</w:t>
      </w:r>
      <w:bookmarkEnd w:id="0"/>
    </w:p>
    <w:p w:rsidR="00F6686A" w:rsidRPr="000B5407" w:rsidRDefault="00F6686A" w:rsidP="00F6686A">
      <w:pPr>
        <w:pStyle w:val="ColorfulList-Accent11"/>
        <w:ind w:left="2520" w:firstLine="360"/>
        <w:jc w:val="both"/>
        <w:rPr>
          <w:rFonts w:ascii="Times New Roman" w:hAnsi="Times New Roman"/>
          <w:sz w:val="24"/>
          <w:szCs w:val="24"/>
          <w:lang w:val="en-US"/>
        </w:rPr>
      </w:pPr>
    </w:p>
    <w:tbl>
      <w:tblPr>
        <w:tblW w:w="0" w:type="auto"/>
        <w:tblLook w:val="0000" w:firstRow="0" w:lastRow="0" w:firstColumn="0" w:lastColumn="0" w:noHBand="0" w:noVBand="0"/>
      </w:tblPr>
      <w:tblGrid>
        <w:gridCol w:w="1177"/>
        <w:gridCol w:w="6018"/>
        <w:gridCol w:w="744"/>
      </w:tblGrid>
      <w:tr w:rsidR="00F6686A" w:rsidRPr="00B15BDB" w:rsidTr="00937D90">
        <w:trPr>
          <w:cantSplit/>
        </w:trPr>
        <w:tc>
          <w:tcPr>
            <w:tcW w:w="0" w:type="auto"/>
          </w:tcPr>
          <w:p w:rsidR="00F6686A" w:rsidRDefault="00F6686A" w:rsidP="00937D90">
            <w:pPr>
              <w:pStyle w:val="AbbrDesc"/>
              <w:rPr>
                <w:caps/>
              </w:rPr>
            </w:pPr>
            <w:r w:rsidRPr="00D30084">
              <w:rPr>
                <w:caps/>
              </w:rPr>
              <w:t>cclip</w:t>
            </w:r>
          </w:p>
        </w:tc>
        <w:tc>
          <w:tcPr>
            <w:tcW w:w="0" w:type="auto"/>
            <w:gridSpan w:val="2"/>
            <w:vAlign w:val="bottom"/>
          </w:tcPr>
          <w:p w:rsidR="00F6686A" w:rsidRPr="0063226C" w:rsidRDefault="00F6686A" w:rsidP="00937D90">
            <w:pPr>
              <w:pStyle w:val="AbbrDesc"/>
            </w:pPr>
            <w:r w:rsidRPr="00D30084">
              <w:t>Conditional Credit Line for Investment Projects</w:t>
            </w:r>
          </w:p>
        </w:tc>
      </w:tr>
      <w:tr w:rsidR="00F6686A" w:rsidRPr="009218F0" w:rsidTr="00937D90">
        <w:trPr>
          <w:cantSplit/>
        </w:trPr>
        <w:tc>
          <w:tcPr>
            <w:tcW w:w="0" w:type="auto"/>
          </w:tcPr>
          <w:p w:rsidR="00F6686A" w:rsidRPr="00D30084" w:rsidRDefault="00F6686A" w:rsidP="00937D90">
            <w:pPr>
              <w:pStyle w:val="ABBR"/>
              <w:tabs>
                <w:tab w:val="left" w:pos="3060"/>
              </w:tabs>
            </w:pPr>
            <w:r>
              <w:t>CFE</w:t>
            </w:r>
          </w:p>
        </w:tc>
        <w:tc>
          <w:tcPr>
            <w:tcW w:w="0" w:type="auto"/>
            <w:gridSpan w:val="2"/>
            <w:vAlign w:val="bottom"/>
          </w:tcPr>
          <w:p w:rsidR="00F6686A" w:rsidRPr="00D30084" w:rsidRDefault="00F6686A" w:rsidP="00937D90">
            <w:pPr>
              <w:pStyle w:val="AbbrDesc"/>
            </w:pPr>
            <w:r>
              <w:t>Federal Electricity Commission</w:t>
            </w:r>
          </w:p>
        </w:tc>
      </w:tr>
      <w:tr w:rsidR="00FD3D26" w:rsidRPr="009218F0" w:rsidTr="00937D90">
        <w:trPr>
          <w:cantSplit/>
        </w:trPr>
        <w:tc>
          <w:tcPr>
            <w:tcW w:w="0" w:type="auto"/>
          </w:tcPr>
          <w:p w:rsidR="00FD3D26" w:rsidRPr="00622F8D" w:rsidRDefault="00FD3D26" w:rsidP="00E7550C">
            <w:pPr>
              <w:pStyle w:val="ABBR"/>
              <w:tabs>
                <w:tab w:val="left" w:pos="3060"/>
              </w:tabs>
            </w:pPr>
            <w:r w:rsidRPr="00622F8D">
              <w:t>CO</w:t>
            </w:r>
            <w:r w:rsidRPr="00622F8D">
              <w:rPr>
                <w:vertAlign w:val="subscript"/>
              </w:rPr>
              <w:t>2</w:t>
            </w:r>
            <w:r w:rsidRPr="00622F8D">
              <w:rPr>
                <w:caps w:val="0"/>
              </w:rPr>
              <w:t>e</w:t>
            </w:r>
          </w:p>
        </w:tc>
        <w:tc>
          <w:tcPr>
            <w:tcW w:w="0" w:type="auto"/>
            <w:gridSpan w:val="2"/>
            <w:vAlign w:val="bottom"/>
          </w:tcPr>
          <w:p w:rsidR="00FD3D26" w:rsidRPr="00622F8D" w:rsidRDefault="00FD3D26" w:rsidP="00E7550C">
            <w:pPr>
              <w:pStyle w:val="AbbrDesc"/>
            </w:pPr>
            <w:r w:rsidRPr="00622F8D">
              <w:t>Carbon dioxide equivalent</w:t>
            </w:r>
          </w:p>
        </w:tc>
      </w:tr>
      <w:tr w:rsidR="00FD3D26" w:rsidRPr="00A73D28" w:rsidTr="00937D90">
        <w:trPr>
          <w:cantSplit/>
        </w:trPr>
        <w:tc>
          <w:tcPr>
            <w:tcW w:w="0" w:type="auto"/>
          </w:tcPr>
          <w:p w:rsidR="00FD3D26" w:rsidRPr="00622F8D" w:rsidRDefault="00FD3D26" w:rsidP="00E7550C">
            <w:pPr>
              <w:pStyle w:val="ABBR"/>
              <w:tabs>
                <w:tab w:val="left" w:pos="3060"/>
              </w:tabs>
            </w:pPr>
            <w:r w:rsidRPr="00622F8D">
              <w:t>cre</w:t>
            </w:r>
          </w:p>
        </w:tc>
        <w:tc>
          <w:tcPr>
            <w:tcW w:w="0" w:type="auto"/>
            <w:gridSpan w:val="2"/>
            <w:vAlign w:val="bottom"/>
          </w:tcPr>
          <w:p w:rsidR="00FD3D26" w:rsidRPr="00622F8D" w:rsidRDefault="00FD3D26" w:rsidP="00E7550C">
            <w:pPr>
              <w:pStyle w:val="AbbrDesc"/>
              <w:rPr>
                <w:lang w:val="es-ES_tradnl"/>
              </w:rPr>
            </w:pPr>
            <w:r w:rsidRPr="00622F8D">
              <w:rPr>
                <w:i/>
                <w:lang w:val="es-ES_tradnl"/>
              </w:rPr>
              <w:t>Comisión Reguladora de Energía</w:t>
            </w:r>
            <w:r w:rsidRPr="00622F8D">
              <w:rPr>
                <w:lang w:val="es-ES_tradnl"/>
              </w:rPr>
              <w:t xml:space="preserve"> (</w:t>
            </w:r>
            <w:proofErr w:type="spellStart"/>
            <w:r w:rsidRPr="00622F8D">
              <w:rPr>
                <w:lang w:val="es-ES_tradnl"/>
              </w:rPr>
              <w:t>Energy</w:t>
            </w:r>
            <w:proofErr w:type="spellEnd"/>
            <w:r w:rsidRPr="00622F8D">
              <w:rPr>
                <w:lang w:val="es-ES_tradnl"/>
              </w:rPr>
              <w:t xml:space="preserve"> </w:t>
            </w:r>
            <w:proofErr w:type="spellStart"/>
            <w:r w:rsidRPr="00622F8D">
              <w:rPr>
                <w:lang w:val="es-ES_tradnl"/>
              </w:rPr>
              <w:t>Regulatory</w:t>
            </w:r>
            <w:proofErr w:type="spellEnd"/>
            <w:r w:rsidRPr="00622F8D">
              <w:rPr>
                <w:lang w:val="es-ES_tradnl"/>
              </w:rPr>
              <w:t xml:space="preserve"> </w:t>
            </w:r>
            <w:proofErr w:type="spellStart"/>
            <w:r w:rsidRPr="00622F8D">
              <w:rPr>
                <w:lang w:val="es-ES_tradnl"/>
              </w:rPr>
              <w:t>Commission</w:t>
            </w:r>
            <w:proofErr w:type="spellEnd"/>
            <w:r w:rsidRPr="00622F8D">
              <w:rPr>
                <w:lang w:val="es-ES_tradnl"/>
              </w:rPr>
              <w:t>)</w:t>
            </w:r>
          </w:p>
        </w:tc>
      </w:tr>
      <w:tr w:rsidR="00FD3D26" w:rsidRPr="0063226C" w:rsidTr="00FD3D26">
        <w:trPr>
          <w:cantSplit/>
        </w:trPr>
        <w:tc>
          <w:tcPr>
            <w:tcW w:w="0" w:type="auto"/>
          </w:tcPr>
          <w:p w:rsidR="00FD3D26" w:rsidRDefault="00FD3D26" w:rsidP="00937D90">
            <w:pPr>
              <w:pStyle w:val="AbbrDesc"/>
              <w:rPr>
                <w:caps/>
              </w:rPr>
            </w:pPr>
            <w:r w:rsidRPr="00D30084">
              <w:rPr>
                <w:caps/>
              </w:rPr>
              <w:t>ctf</w:t>
            </w:r>
          </w:p>
        </w:tc>
        <w:tc>
          <w:tcPr>
            <w:tcW w:w="0" w:type="auto"/>
            <w:gridSpan w:val="2"/>
            <w:vAlign w:val="bottom"/>
          </w:tcPr>
          <w:p w:rsidR="00FD3D26" w:rsidRPr="0063226C" w:rsidRDefault="00FD3D26" w:rsidP="00937D90">
            <w:pPr>
              <w:pStyle w:val="AbbrDesc"/>
            </w:pPr>
            <w:r w:rsidRPr="00D30084">
              <w:t>Clean Technology Fund</w:t>
            </w:r>
          </w:p>
        </w:tc>
      </w:tr>
      <w:tr w:rsidR="00FD3D26" w:rsidRPr="0063226C" w:rsidTr="00FD3D26">
        <w:trPr>
          <w:cantSplit/>
        </w:trPr>
        <w:tc>
          <w:tcPr>
            <w:tcW w:w="0" w:type="auto"/>
          </w:tcPr>
          <w:p w:rsidR="00FD3D26" w:rsidRPr="00FD3D26" w:rsidRDefault="00FD3D26" w:rsidP="00FD3D26">
            <w:pPr>
              <w:pStyle w:val="AbbrDesc"/>
            </w:pPr>
            <w:r w:rsidRPr="00FD3D26">
              <w:t>EA</w:t>
            </w:r>
          </w:p>
        </w:tc>
        <w:tc>
          <w:tcPr>
            <w:tcW w:w="0" w:type="auto"/>
            <w:gridSpan w:val="2"/>
            <w:vAlign w:val="bottom"/>
          </w:tcPr>
          <w:p w:rsidR="00FD3D26" w:rsidRPr="00FD3D26" w:rsidRDefault="00FD3D26" w:rsidP="00FD3D26">
            <w:pPr>
              <w:pStyle w:val="AbbrDesc"/>
            </w:pPr>
            <w:r w:rsidRPr="00622F8D">
              <w:t>Executing Agency</w:t>
            </w:r>
          </w:p>
        </w:tc>
      </w:tr>
      <w:tr w:rsidR="00FD3D26" w:rsidRPr="0063226C" w:rsidTr="00FD3D26">
        <w:trPr>
          <w:cantSplit/>
        </w:trPr>
        <w:tc>
          <w:tcPr>
            <w:tcW w:w="0" w:type="auto"/>
          </w:tcPr>
          <w:p w:rsidR="00FD3D26" w:rsidRPr="00622F8D" w:rsidRDefault="00FD3D26" w:rsidP="00FD3D26">
            <w:pPr>
              <w:pStyle w:val="AbbrDesc"/>
            </w:pPr>
            <w:r w:rsidRPr="00622F8D">
              <w:t>EUR</w:t>
            </w:r>
          </w:p>
        </w:tc>
        <w:tc>
          <w:tcPr>
            <w:tcW w:w="0" w:type="auto"/>
            <w:gridSpan w:val="2"/>
            <w:vAlign w:val="bottom"/>
          </w:tcPr>
          <w:p w:rsidR="00FD3D26" w:rsidRPr="00622F8D" w:rsidRDefault="00FD3D26" w:rsidP="00FD3D26">
            <w:pPr>
              <w:pStyle w:val="AbbrDesc"/>
            </w:pPr>
            <w:r w:rsidRPr="00622F8D">
              <w:t>Euros</w:t>
            </w:r>
          </w:p>
        </w:tc>
      </w:tr>
      <w:tr w:rsidR="00FD3D26" w:rsidRPr="0063226C" w:rsidTr="00FD3D26">
        <w:trPr>
          <w:cantSplit/>
        </w:trPr>
        <w:tc>
          <w:tcPr>
            <w:tcW w:w="0" w:type="auto"/>
          </w:tcPr>
          <w:p w:rsidR="00FD3D26" w:rsidRPr="0063226C" w:rsidRDefault="00FD3D26" w:rsidP="00937D90">
            <w:pPr>
              <w:pStyle w:val="ABBR"/>
            </w:pPr>
            <w:r w:rsidRPr="00D30084">
              <w:t>Ghg</w:t>
            </w:r>
          </w:p>
        </w:tc>
        <w:tc>
          <w:tcPr>
            <w:tcW w:w="0" w:type="auto"/>
            <w:gridSpan w:val="2"/>
            <w:vAlign w:val="bottom"/>
          </w:tcPr>
          <w:p w:rsidR="00FD3D26" w:rsidRPr="0063226C" w:rsidRDefault="00FD3D26" w:rsidP="00937D90">
            <w:pPr>
              <w:pStyle w:val="AbbrDesc"/>
            </w:pPr>
            <w:r w:rsidRPr="00D30084">
              <w:t>Greenhouse Gas</w:t>
            </w:r>
          </w:p>
        </w:tc>
      </w:tr>
      <w:tr w:rsidR="00FD3D26" w:rsidRPr="0063226C" w:rsidTr="00FD3D26">
        <w:trPr>
          <w:cantSplit/>
        </w:trPr>
        <w:tc>
          <w:tcPr>
            <w:tcW w:w="0" w:type="auto"/>
          </w:tcPr>
          <w:p w:rsidR="00FD3D26" w:rsidRPr="00622F8D" w:rsidRDefault="00FD3D26" w:rsidP="00E7550C">
            <w:pPr>
              <w:pStyle w:val="ABBR"/>
              <w:rPr>
                <w:caps w:val="0"/>
              </w:rPr>
            </w:pPr>
            <w:proofErr w:type="spellStart"/>
            <w:r w:rsidRPr="00622F8D">
              <w:rPr>
                <w:caps w:val="0"/>
              </w:rPr>
              <w:t>GoM</w:t>
            </w:r>
            <w:proofErr w:type="spellEnd"/>
          </w:p>
        </w:tc>
        <w:tc>
          <w:tcPr>
            <w:tcW w:w="0" w:type="auto"/>
            <w:gridSpan w:val="2"/>
            <w:vAlign w:val="bottom"/>
          </w:tcPr>
          <w:p w:rsidR="00FD3D26" w:rsidRPr="00622F8D" w:rsidRDefault="00FD3D26" w:rsidP="00E7550C">
            <w:pPr>
              <w:pStyle w:val="AbbrDesc"/>
            </w:pPr>
            <w:r w:rsidRPr="00622F8D">
              <w:t>Government of Mexico</w:t>
            </w:r>
          </w:p>
        </w:tc>
      </w:tr>
      <w:tr w:rsidR="00FD3D26" w:rsidRPr="0063226C" w:rsidTr="00937D90">
        <w:trPr>
          <w:cantSplit/>
        </w:trPr>
        <w:tc>
          <w:tcPr>
            <w:tcW w:w="0" w:type="auto"/>
          </w:tcPr>
          <w:p w:rsidR="00FD3D26" w:rsidRPr="0063226C" w:rsidRDefault="00FD3D26" w:rsidP="00937D90">
            <w:pPr>
              <w:pStyle w:val="ABBR"/>
            </w:pPr>
            <w:r w:rsidRPr="00D30084">
              <w:t>idb</w:t>
            </w:r>
          </w:p>
        </w:tc>
        <w:tc>
          <w:tcPr>
            <w:tcW w:w="0" w:type="auto"/>
            <w:gridSpan w:val="2"/>
            <w:vAlign w:val="bottom"/>
          </w:tcPr>
          <w:p w:rsidR="00FD3D26" w:rsidRPr="0063226C" w:rsidRDefault="00FD3D26" w:rsidP="00937D90">
            <w:pPr>
              <w:pStyle w:val="AbbrDesc"/>
            </w:pPr>
            <w:r w:rsidRPr="00D30084">
              <w:t>Inter-American Development Bank</w:t>
            </w:r>
          </w:p>
        </w:tc>
      </w:tr>
      <w:tr w:rsidR="00FD3D26" w:rsidRPr="0063226C" w:rsidTr="00937D90">
        <w:trPr>
          <w:cantSplit/>
        </w:trPr>
        <w:tc>
          <w:tcPr>
            <w:tcW w:w="0" w:type="auto"/>
          </w:tcPr>
          <w:p w:rsidR="00FD3D26" w:rsidRPr="00622F8D" w:rsidRDefault="00FD3D26" w:rsidP="00E7550C">
            <w:pPr>
              <w:pStyle w:val="ABBR"/>
              <w:rPr>
                <w:caps w:val="0"/>
              </w:rPr>
            </w:pPr>
            <w:r w:rsidRPr="00622F8D">
              <w:rPr>
                <w:caps w:val="0"/>
              </w:rPr>
              <w:t>IFIs</w:t>
            </w:r>
          </w:p>
        </w:tc>
        <w:tc>
          <w:tcPr>
            <w:tcW w:w="0" w:type="auto"/>
            <w:gridSpan w:val="2"/>
            <w:vAlign w:val="bottom"/>
          </w:tcPr>
          <w:p w:rsidR="00FD3D26" w:rsidRPr="00622F8D" w:rsidRDefault="00FD3D26" w:rsidP="00E7550C">
            <w:pPr>
              <w:pStyle w:val="AbbrDesc"/>
            </w:pPr>
            <w:r w:rsidRPr="00622F8D">
              <w:t>Intermediary Financial Institutions</w:t>
            </w:r>
          </w:p>
        </w:tc>
      </w:tr>
      <w:tr w:rsidR="00FD3D26" w:rsidRPr="0063226C" w:rsidTr="00937D90">
        <w:trPr>
          <w:cantSplit/>
        </w:trPr>
        <w:tc>
          <w:tcPr>
            <w:tcW w:w="0" w:type="auto"/>
          </w:tcPr>
          <w:p w:rsidR="00FD3D26" w:rsidRPr="0063226C" w:rsidRDefault="00FD3D26" w:rsidP="00E7550C">
            <w:pPr>
              <w:pStyle w:val="ABBR"/>
            </w:pPr>
            <w:r>
              <w:t>k</w:t>
            </w:r>
            <w:r w:rsidRPr="00D30084">
              <w:t>w</w:t>
            </w:r>
            <w:r>
              <w:t>h</w:t>
            </w:r>
          </w:p>
        </w:tc>
        <w:tc>
          <w:tcPr>
            <w:tcW w:w="0" w:type="auto"/>
            <w:gridSpan w:val="2"/>
            <w:vAlign w:val="bottom"/>
          </w:tcPr>
          <w:p w:rsidR="00FD3D26" w:rsidRPr="0063226C" w:rsidRDefault="00FD3D26" w:rsidP="00E7550C">
            <w:pPr>
              <w:pStyle w:val="AbbrDesc"/>
            </w:pPr>
            <w:r w:rsidRPr="00D30084">
              <w:t>Kilowatts Hour</w:t>
            </w:r>
          </w:p>
        </w:tc>
      </w:tr>
      <w:tr w:rsidR="00FD3D26" w:rsidRPr="0063226C" w:rsidTr="00937D90">
        <w:trPr>
          <w:cantSplit/>
        </w:trPr>
        <w:tc>
          <w:tcPr>
            <w:tcW w:w="0" w:type="auto"/>
          </w:tcPr>
          <w:p w:rsidR="00FD3D26" w:rsidRPr="00622F8D" w:rsidRDefault="00FD3D26" w:rsidP="00E7550C">
            <w:pPr>
              <w:pStyle w:val="ABBR"/>
            </w:pPr>
            <w:r w:rsidRPr="00622F8D">
              <w:t>mdb</w:t>
            </w:r>
          </w:p>
        </w:tc>
        <w:tc>
          <w:tcPr>
            <w:tcW w:w="0" w:type="auto"/>
            <w:gridSpan w:val="2"/>
            <w:vAlign w:val="bottom"/>
          </w:tcPr>
          <w:p w:rsidR="00FD3D26" w:rsidRPr="00622F8D" w:rsidRDefault="00FD3D26" w:rsidP="00E7550C">
            <w:pPr>
              <w:pStyle w:val="AbbrDesc"/>
            </w:pPr>
            <w:r w:rsidRPr="00622F8D">
              <w:t>Multilateral Development Bank</w:t>
            </w:r>
          </w:p>
        </w:tc>
      </w:tr>
      <w:tr w:rsidR="00FD3D26" w:rsidRPr="0063226C" w:rsidTr="00937D90">
        <w:trPr>
          <w:cantSplit/>
        </w:trPr>
        <w:tc>
          <w:tcPr>
            <w:tcW w:w="0" w:type="auto"/>
          </w:tcPr>
          <w:p w:rsidR="00FD3D26" w:rsidRPr="00622F8D" w:rsidRDefault="00FD3D26" w:rsidP="00E7550C">
            <w:pPr>
              <w:pStyle w:val="ABBR"/>
              <w:rPr>
                <w:caps w:val="0"/>
              </w:rPr>
            </w:pPr>
            <w:r w:rsidRPr="00622F8D">
              <w:rPr>
                <w:caps w:val="0"/>
              </w:rPr>
              <w:t>Mt</w:t>
            </w:r>
          </w:p>
        </w:tc>
        <w:tc>
          <w:tcPr>
            <w:tcW w:w="0" w:type="auto"/>
            <w:gridSpan w:val="2"/>
            <w:vAlign w:val="bottom"/>
          </w:tcPr>
          <w:p w:rsidR="00FD3D26" w:rsidRPr="00622F8D" w:rsidRDefault="00FD3D26" w:rsidP="00E7550C">
            <w:pPr>
              <w:pStyle w:val="AbbrDesc"/>
            </w:pPr>
            <w:r w:rsidRPr="00622F8D">
              <w:t>Million Tons</w:t>
            </w:r>
          </w:p>
        </w:tc>
      </w:tr>
      <w:tr w:rsidR="00FD3D26" w:rsidRPr="0063226C" w:rsidTr="00937D90">
        <w:trPr>
          <w:cantSplit/>
        </w:trPr>
        <w:tc>
          <w:tcPr>
            <w:tcW w:w="0" w:type="auto"/>
          </w:tcPr>
          <w:p w:rsidR="00FD3D26" w:rsidRPr="0063226C" w:rsidRDefault="00FD3D26" w:rsidP="00937D90">
            <w:pPr>
              <w:pStyle w:val="ABBR"/>
            </w:pPr>
            <w:r w:rsidRPr="00D30084">
              <w:t>musd</w:t>
            </w:r>
          </w:p>
        </w:tc>
        <w:tc>
          <w:tcPr>
            <w:tcW w:w="0" w:type="auto"/>
            <w:gridSpan w:val="2"/>
            <w:vAlign w:val="bottom"/>
          </w:tcPr>
          <w:p w:rsidR="00FD3D26" w:rsidRPr="0063226C" w:rsidRDefault="00FD3D26" w:rsidP="00937D90">
            <w:pPr>
              <w:pStyle w:val="AbbrDesc"/>
            </w:pPr>
            <w:r w:rsidRPr="00D30084">
              <w:t>Million US Dollars</w:t>
            </w:r>
          </w:p>
        </w:tc>
      </w:tr>
      <w:tr w:rsidR="0052468A" w:rsidRPr="0063226C" w:rsidTr="00937D90">
        <w:trPr>
          <w:cantSplit/>
        </w:trPr>
        <w:tc>
          <w:tcPr>
            <w:tcW w:w="0" w:type="auto"/>
          </w:tcPr>
          <w:p w:rsidR="0052468A" w:rsidRPr="00D30084" w:rsidRDefault="0052468A" w:rsidP="00937D90">
            <w:pPr>
              <w:pStyle w:val="ABBR"/>
            </w:pPr>
            <w:r>
              <w:t>NAFIN</w:t>
            </w:r>
          </w:p>
        </w:tc>
        <w:tc>
          <w:tcPr>
            <w:tcW w:w="0" w:type="auto"/>
            <w:gridSpan w:val="2"/>
            <w:vAlign w:val="bottom"/>
          </w:tcPr>
          <w:p w:rsidR="0052468A" w:rsidRPr="00D30084" w:rsidRDefault="0052468A" w:rsidP="00937D90">
            <w:pPr>
              <w:pStyle w:val="AbbrDesc"/>
            </w:pPr>
            <w:proofErr w:type="spellStart"/>
            <w:r>
              <w:t>Nacional</w:t>
            </w:r>
            <w:proofErr w:type="spellEnd"/>
            <w:r>
              <w:t xml:space="preserve"> </w:t>
            </w:r>
            <w:proofErr w:type="spellStart"/>
            <w:r>
              <w:t>Financiera</w:t>
            </w:r>
            <w:proofErr w:type="spellEnd"/>
          </w:p>
        </w:tc>
      </w:tr>
      <w:tr w:rsidR="00FD3D26" w:rsidRPr="0063226C" w:rsidTr="00937D90">
        <w:trPr>
          <w:cantSplit/>
        </w:trPr>
        <w:tc>
          <w:tcPr>
            <w:tcW w:w="0" w:type="auto"/>
          </w:tcPr>
          <w:p w:rsidR="00FD3D26" w:rsidRPr="00622F8D" w:rsidRDefault="00FD3D26" w:rsidP="00E7550C">
            <w:pPr>
              <w:pStyle w:val="ABBR"/>
            </w:pPr>
            <w:r w:rsidRPr="00622F8D">
              <w:t>NPV</w:t>
            </w:r>
          </w:p>
        </w:tc>
        <w:tc>
          <w:tcPr>
            <w:tcW w:w="0" w:type="auto"/>
            <w:gridSpan w:val="2"/>
            <w:vAlign w:val="bottom"/>
          </w:tcPr>
          <w:p w:rsidR="00FD3D26" w:rsidRPr="00622F8D" w:rsidRDefault="00FD3D26" w:rsidP="00E7550C">
            <w:pPr>
              <w:pStyle w:val="AbbrDesc"/>
            </w:pPr>
            <w:r w:rsidRPr="00622F8D">
              <w:t xml:space="preserve">Net Present Value </w:t>
            </w:r>
          </w:p>
        </w:tc>
      </w:tr>
      <w:tr w:rsidR="00FD3D26" w:rsidRPr="0063226C" w:rsidTr="00937D90">
        <w:trPr>
          <w:cantSplit/>
        </w:trPr>
        <w:tc>
          <w:tcPr>
            <w:tcW w:w="0" w:type="auto"/>
          </w:tcPr>
          <w:p w:rsidR="00FD3D26" w:rsidRPr="00622F8D" w:rsidRDefault="00FD3D26" w:rsidP="00E7550C">
            <w:pPr>
              <w:pStyle w:val="ABBR"/>
            </w:pPr>
            <w:r w:rsidRPr="00622F8D">
              <w:t>OC</w:t>
            </w:r>
          </w:p>
        </w:tc>
        <w:tc>
          <w:tcPr>
            <w:tcW w:w="0" w:type="auto"/>
            <w:gridSpan w:val="2"/>
            <w:vAlign w:val="bottom"/>
          </w:tcPr>
          <w:p w:rsidR="00FD3D26" w:rsidRPr="00622F8D" w:rsidRDefault="00FD3D26" w:rsidP="00E7550C">
            <w:pPr>
              <w:pStyle w:val="AbbrDesc"/>
              <w:rPr>
                <w:i/>
                <w:lang w:val="es-ES_tradnl"/>
              </w:rPr>
            </w:pPr>
            <w:r w:rsidRPr="00622F8D">
              <w:t xml:space="preserve">Ordinary Capital </w:t>
            </w:r>
          </w:p>
        </w:tc>
      </w:tr>
      <w:tr w:rsidR="00FD3D26" w:rsidRPr="0063226C" w:rsidTr="00937D90">
        <w:trPr>
          <w:cantSplit/>
        </w:trPr>
        <w:tc>
          <w:tcPr>
            <w:tcW w:w="0" w:type="auto"/>
          </w:tcPr>
          <w:p w:rsidR="00FD3D26" w:rsidRPr="00622F8D" w:rsidRDefault="00FD3D26" w:rsidP="00E7550C">
            <w:pPr>
              <w:pStyle w:val="ABBR"/>
            </w:pPr>
            <w:r w:rsidRPr="00622F8D">
              <w:t>pcr</w:t>
            </w:r>
          </w:p>
        </w:tc>
        <w:tc>
          <w:tcPr>
            <w:tcW w:w="0" w:type="auto"/>
            <w:gridSpan w:val="2"/>
            <w:vAlign w:val="bottom"/>
          </w:tcPr>
          <w:p w:rsidR="00FD3D26" w:rsidRPr="00622F8D" w:rsidRDefault="00FD3D26" w:rsidP="00E7550C">
            <w:pPr>
              <w:pStyle w:val="AbbrDesc"/>
              <w:rPr>
                <w:lang w:val="es-ES_tradnl"/>
              </w:rPr>
            </w:pPr>
            <w:r w:rsidRPr="00622F8D">
              <w:rPr>
                <w:lang w:val="es-ES_tradnl"/>
              </w:rPr>
              <w:t xml:space="preserve">Project </w:t>
            </w:r>
            <w:proofErr w:type="spellStart"/>
            <w:r w:rsidRPr="00622F8D">
              <w:rPr>
                <w:lang w:val="es-ES_tradnl"/>
              </w:rPr>
              <w:t>Completion</w:t>
            </w:r>
            <w:proofErr w:type="spellEnd"/>
            <w:r w:rsidRPr="00622F8D">
              <w:rPr>
                <w:lang w:val="es-ES_tradnl"/>
              </w:rPr>
              <w:t xml:space="preserve"> </w:t>
            </w:r>
            <w:proofErr w:type="spellStart"/>
            <w:r w:rsidRPr="00622F8D">
              <w:rPr>
                <w:lang w:val="es-ES_tradnl"/>
              </w:rPr>
              <w:t>Report</w:t>
            </w:r>
            <w:proofErr w:type="spellEnd"/>
            <w:r w:rsidRPr="00622F8D">
              <w:rPr>
                <w:lang w:val="es-ES_tradnl"/>
              </w:rPr>
              <w:t xml:space="preserve"> </w:t>
            </w:r>
          </w:p>
        </w:tc>
      </w:tr>
      <w:tr w:rsidR="00C8107D" w:rsidRPr="0063226C" w:rsidTr="00937D90">
        <w:trPr>
          <w:cantSplit/>
        </w:trPr>
        <w:tc>
          <w:tcPr>
            <w:tcW w:w="0" w:type="auto"/>
          </w:tcPr>
          <w:p w:rsidR="00C8107D" w:rsidRPr="00622F8D" w:rsidRDefault="00C8107D" w:rsidP="00E7550C">
            <w:pPr>
              <w:pStyle w:val="ABBR"/>
            </w:pPr>
            <w:r>
              <w:t>PIU</w:t>
            </w:r>
          </w:p>
        </w:tc>
        <w:tc>
          <w:tcPr>
            <w:tcW w:w="0" w:type="auto"/>
            <w:gridSpan w:val="2"/>
            <w:vAlign w:val="bottom"/>
          </w:tcPr>
          <w:p w:rsidR="00C8107D" w:rsidRPr="00622F8D" w:rsidRDefault="00C8107D" w:rsidP="00E7550C">
            <w:pPr>
              <w:pStyle w:val="AbbrDesc"/>
              <w:rPr>
                <w:lang w:val="es-ES_tradnl"/>
              </w:rPr>
            </w:pPr>
            <w:r>
              <w:rPr>
                <w:lang w:val="es-ES_tradnl"/>
              </w:rPr>
              <w:t xml:space="preserve">Project </w:t>
            </w:r>
            <w:proofErr w:type="spellStart"/>
            <w:r>
              <w:rPr>
                <w:lang w:val="es-ES_tradnl"/>
              </w:rPr>
              <w:t>Implementation</w:t>
            </w:r>
            <w:proofErr w:type="spellEnd"/>
            <w:r>
              <w:rPr>
                <w:lang w:val="es-ES_tradnl"/>
              </w:rPr>
              <w:t xml:space="preserve"> </w:t>
            </w:r>
            <w:proofErr w:type="spellStart"/>
            <w:r>
              <w:rPr>
                <w:lang w:val="es-ES_tradnl"/>
              </w:rPr>
              <w:t>Unit</w:t>
            </w:r>
            <w:proofErr w:type="spellEnd"/>
          </w:p>
        </w:tc>
      </w:tr>
      <w:tr w:rsidR="00FD3D26" w:rsidRPr="0063226C" w:rsidTr="00937D90">
        <w:trPr>
          <w:cantSplit/>
        </w:trPr>
        <w:tc>
          <w:tcPr>
            <w:tcW w:w="0" w:type="auto"/>
          </w:tcPr>
          <w:p w:rsidR="00FD3D26" w:rsidRPr="00B602D1" w:rsidRDefault="00FD3D26" w:rsidP="00E7550C">
            <w:pPr>
              <w:pStyle w:val="ABBR"/>
            </w:pPr>
            <w:r w:rsidRPr="00B602D1">
              <w:t>OR</w:t>
            </w:r>
          </w:p>
        </w:tc>
        <w:tc>
          <w:tcPr>
            <w:tcW w:w="0" w:type="auto"/>
            <w:gridSpan w:val="2"/>
            <w:vAlign w:val="bottom"/>
          </w:tcPr>
          <w:p w:rsidR="00FD3D26" w:rsidRPr="00FB7282" w:rsidRDefault="00FD3D26" w:rsidP="00B602D1">
            <w:pPr>
              <w:pStyle w:val="AbbrDesc"/>
              <w:rPr>
                <w:i/>
                <w:lang w:val="es-ES_tradnl"/>
              </w:rPr>
            </w:pPr>
            <w:r w:rsidRPr="00B602D1">
              <w:rPr>
                <w:bCs/>
              </w:rPr>
              <w:t>Operati</w:t>
            </w:r>
            <w:r w:rsidR="00B602D1" w:rsidRPr="004424E9">
              <w:rPr>
                <w:bCs/>
              </w:rPr>
              <w:t>ng</w:t>
            </w:r>
            <w:r w:rsidRPr="00B32DAD">
              <w:rPr>
                <w:bCs/>
              </w:rPr>
              <w:t xml:space="preserve"> Regulations </w:t>
            </w:r>
          </w:p>
        </w:tc>
      </w:tr>
      <w:tr w:rsidR="00FD3D26" w:rsidRPr="0063226C" w:rsidTr="00937D90">
        <w:trPr>
          <w:cantSplit/>
        </w:trPr>
        <w:tc>
          <w:tcPr>
            <w:tcW w:w="0" w:type="auto"/>
          </w:tcPr>
          <w:p w:rsidR="00FD3D26" w:rsidRPr="0063226C" w:rsidRDefault="00FD3D26" w:rsidP="00937D90">
            <w:pPr>
              <w:pStyle w:val="ABBR"/>
            </w:pPr>
            <w:r w:rsidRPr="00D30084">
              <w:t>sener</w:t>
            </w:r>
          </w:p>
        </w:tc>
        <w:tc>
          <w:tcPr>
            <w:tcW w:w="0" w:type="auto"/>
            <w:vAlign w:val="bottom"/>
          </w:tcPr>
          <w:p w:rsidR="00FD3D26" w:rsidRPr="0063226C" w:rsidRDefault="00FD3D26" w:rsidP="00937D90">
            <w:pPr>
              <w:pStyle w:val="AbbrDesc"/>
            </w:pPr>
            <w:r w:rsidRPr="00D30084">
              <w:t xml:space="preserve">Energy </w:t>
            </w:r>
            <w:r>
              <w:t>Ministry</w:t>
            </w:r>
          </w:p>
        </w:tc>
        <w:tc>
          <w:tcPr>
            <w:tcW w:w="0" w:type="auto"/>
            <w:vAlign w:val="bottom"/>
          </w:tcPr>
          <w:p w:rsidR="00FD3D26" w:rsidRPr="0063226C" w:rsidRDefault="00FD3D26" w:rsidP="00937D90">
            <w:pPr>
              <w:pStyle w:val="AbbrDesc"/>
            </w:pPr>
          </w:p>
        </w:tc>
      </w:tr>
      <w:tr w:rsidR="00FD3D26" w:rsidRPr="00785F40" w:rsidTr="00937D90">
        <w:trPr>
          <w:cantSplit/>
        </w:trPr>
        <w:tc>
          <w:tcPr>
            <w:tcW w:w="0" w:type="auto"/>
          </w:tcPr>
          <w:p w:rsidR="00FD3D26" w:rsidRPr="0063226C" w:rsidRDefault="00FD3D26" w:rsidP="00937D90">
            <w:pPr>
              <w:pStyle w:val="ABBR"/>
            </w:pPr>
            <w:r w:rsidRPr="00D30084">
              <w:t>unfccc</w:t>
            </w:r>
          </w:p>
        </w:tc>
        <w:tc>
          <w:tcPr>
            <w:tcW w:w="0" w:type="auto"/>
            <w:gridSpan w:val="2"/>
            <w:vAlign w:val="bottom"/>
          </w:tcPr>
          <w:p w:rsidR="00FD3D26" w:rsidRPr="0063226C" w:rsidRDefault="00FD3D26" w:rsidP="00937D90">
            <w:pPr>
              <w:pStyle w:val="AbbrDesc"/>
            </w:pPr>
            <w:r w:rsidRPr="00D30084">
              <w:t>United Nations Framework Convention on Climate Change</w:t>
            </w:r>
          </w:p>
        </w:tc>
      </w:tr>
      <w:tr w:rsidR="00FD3D26" w:rsidRPr="0063226C" w:rsidTr="00937D90">
        <w:trPr>
          <w:cantSplit/>
        </w:trPr>
        <w:tc>
          <w:tcPr>
            <w:tcW w:w="0" w:type="auto"/>
          </w:tcPr>
          <w:p w:rsidR="00FD3D26" w:rsidRPr="0063226C" w:rsidRDefault="00FD3D26" w:rsidP="00937D90">
            <w:pPr>
              <w:pStyle w:val="ABBR"/>
            </w:pPr>
            <w:r w:rsidRPr="00D30084">
              <w:t>usd</w:t>
            </w:r>
          </w:p>
        </w:tc>
        <w:tc>
          <w:tcPr>
            <w:tcW w:w="0" w:type="auto"/>
            <w:gridSpan w:val="2"/>
            <w:vAlign w:val="bottom"/>
          </w:tcPr>
          <w:p w:rsidR="00FD3D26" w:rsidRPr="0063226C" w:rsidRDefault="00FD3D26" w:rsidP="00937D90">
            <w:pPr>
              <w:pStyle w:val="AbbrDesc"/>
            </w:pPr>
            <w:r w:rsidRPr="00D30084">
              <w:t>US Dollars</w:t>
            </w:r>
          </w:p>
        </w:tc>
      </w:tr>
    </w:tbl>
    <w:p w:rsidR="00937D90" w:rsidRDefault="00937D90" w:rsidP="000B27AA">
      <w:pPr>
        <w:pStyle w:val="ColorfulList-Accent11"/>
        <w:ind w:left="1080"/>
        <w:jc w:val="center"/>
        <w:rPr>
          <w:lang w:val="es-ES"/>
        </w:rPr>
      </w:pPr>
    </w:p>
    <w:p w:rsidR="00937D90" w:rsidRDefault="00937D90" w:rsidP="000B27AA">
      <w:pPr>
        <w:pStyle w:val="ColorfulList-Accent11"/>
        <w:ind w:left="1080"/>
        <w:jc w:val="center"/>
        <w:rPr>
          <w:lang w:val="es-ES"/>
        </w:rPr>
      </w:pPr>
    </w:p>
    <w:p w:rsidR="00132DD5" w:rsidRPr="000B27AA" w:rsidRDefault="00F6686A" w:rsidP="00FD3D26">
      <w:pPr>
        <w:pStyle w:val="ColorfulList-Accent11"/>
        <w:ind w:left="0"/>
        <w:rPr>
          <w:rFonts w:ascii="Times New Roman" w:hAnsi="Times New Roman"/>
          <w:smallCaps/>
          <w:sz w:val="24"/>
          <w:szCs w:val="24"/>
          <w:lang w:val="es-ES"/>
        </w:rPr>
      </w:pPr>
      <w:r w:rsidRPr="00011D3C">
        <w:br w:type="page"/>
      </w:r>
    </w:p>
    <w:p w:rsidR="000B27AA" w:rsidRDefault="001A7E25" w:rsidP="00434653">
      <w:pPr>
        <w:pStyle w:val="ListParagraph"/>
        <w:numPr>
          <w:ilvl w:val="0"/>
          <w:numId w:val="2"/>
        </w:numPr>
        <w:tabs>
          <w:tab w:val="left" w:pos="1440"/>
          <w:tab w:val="left" w:pos="3060"/>
        </w:tabs>
        <w:jc w:val="center"/>
        <w:outlineLvl w:val="0"/>
        <w:rPr>
          <w:rFonts w:ascii="Times New Roman" w:hAnsi="Times New Roman"/>
          <w:b/>
          <w:smallCaps/>
          <w:sz w:val="28"/>
          <w:szCs w:val="28"/>
        </w:rPr>
      </w:pPr>
      <w:bookmarkStart w:id="1" w:name="_Toc375150052"/>
      <w:r>
        <w:rPr>
          <w:rFonts w:ascii="Times New Roman" w:hAnsi="Times New Roman"/>
          <w:b/>
          <w:smallCaps/>
          <w:sz w:val="28"/>
          <w:szCs w:val="28"/>
        </w:rPr>
        <w:t>INTRODUCTION</w:t>
      </w:r>
      <w:bookmarkEnd w:id="1"/>
    </w:p>
    <w:p w:rsidR="00D609AB" w:rsidRPr="004424E9" w:rsidRDefault="00D609AB" w:rsidP="005D209C">
      <w:pPr>
        <w:pStyle w:val="ListParagraph"/>
        <w:numPr>
          <w:ilvl w:val="1"/>
          <w:numId w:val="2"/>
        </w:numPr>
        <w:tabs>
          <w:tab w:val="left" w:pos="1440"/>
          <w:tab w:val="left" w:pos="3060"/>
        </w:tabs>
        <w:ind w:left="450"/>
        <w:outlineLvl w:val="0"/>
        <w:rPr>
          <w:rFonts w:ascii="Times New Roman Bold" w:hAnsi="Times New Roman Bold" w:cs="Times New Roman"/>
          <w:b/>
          <w:smallCaps/>
          <w:noProof/>
          <w:sz w:val="28"/>
          <w:szCs w:val="28"/>
        </w:rPr>
      </w:pPr>
      <w:bookmarkStart w:id="2" w:name="_Toc375150053"/>
      <w:r w:rsidRPr="004424E9">
        <w:rPr>
          <w:rFonts w:ascii="Times New Roman Bold" w:hAnsi="Times New Roman Bold" w:cs="Times New Roman"/>
          <w:b/>
          <w:smallCaps/>
          <w:noProof/>
          <w:sz w:val="28"/>
          <w:szCs w:val="28"/>
        </w:rPr>
        <w:t>General framework</w:t>
      </w:r>
      <w:bookmarkEnd w:id="2"/>
    </w:p>
    <w:p w:rsidR="00970F70" w:rsidRPr="00970F70" w:rsidRDefault="00970F70" w:rsidP="00970F70">
      <w:pPr>
        <w:pStyle w:val="AutoNumpara"/>
        <w:rPr>
          <w:noProof w:val="0"/>
          <w:lang w:val="en-US"/>
        </w:rPr>
      </w:pPr>
      <w:r w:rsidRPr="00970F70">
        <w:rPr>
          <w:noProof w:val="0"/>
          <w:lang w:val="en-US"/>
        </w:rPr>
        <w:t>The main purpose of this document is to present the monitoring and evaluat</w:t>
      </w:r>
      <w:r w:rsidR="00D20BFD">
        <w:rPr>
          <w:noProof w:val="0"/>
          <w:lang w:val="en-US"/>
        </w:rPr>
        <w:t xml:space="preserve">ion plan </w:t>
      </w:r>
      <w:r w:rsidRPr="00970F70">
        <w:rPr>
          <w:noProof w:val="0"/>
          <w:lang w:val="en-US"/>
        </w:rPr>
        <w:t xml:space="preserve">of the CTF </w:t>
      </w:r>
      <w:r>
        <w:rPr>
          <w:noProof w:val="0"/>
          <w:lang w:val="en-US"/>
        </w:rPr>
        <w:t xml:space="preserve">Geothermal Financing and Risk Transfer </w:t>
      </w:r>
      <w:r w:rsidR="00A73D28">
        <w:rPr>
          <w:noProof w:val="0"/>
          <w:lang w:val="en-US"/>
        </w:rPr>
        <w:t>Program</w:t>
      </w:r>
      <w:r w:rsidRPr="00970F70">
        <w:rPr>
          <w:noProof w:val="0"/>
          <w:lang w:val="en-US"/>
        </w:rPr>
        <w:t xml:space="preserve">. </w:t>
      </w:r>
    </w:p>
    <w:p w:rsidR="00EE6A31" w:rsidRDefault="00EE6A31" w:rsidP="00EE6A31">
      <w:pPr>
        <w:pStyle w:val="AutoNumpara"/>
        <w:rPr>
          <w:noProof w:val="0"/>
          <w:lang w:val="en-US"/>
        </w:rPr>
      </w:pPr>
      <w:r>
        <w:rPr>
          <w:noProof w:val="0"/>
          <w:lang w:val="en-US"/>
        </w:rPr>
        <w:t xml:space="preserve">The </w:t>
      </w:r>
      <w:r w:rsidR="00AA33A0">
        <w:rPr>
          <w:noProof w:val="0"/>
          <w:lang w:val="en-US"/>
        </w:rPr>
        <w:t>operation</w:t>
      </w:r>
      <w:r>
        <w:rPr>
          <w:noProof w:val="0"/>
          <w:lang w:val="en-US"/>
        </w:rPr>
        <w:t xml:space="preserve"> </w:t>
      </w:r>
      <w:r w:rsidR="00AA33A0">
        <w:rPr>
          <w:noProof w:val="0"/>
          <w:lang w:val="en-US"/>
        </w:rPr>
        <w:t>CTF-</w:t>
      </w:r>
      <w:r>
        <w:rPr>
          <w:noProof w:val="0"/>
          <w:lang w:val="en-US"/>
        </w:rPr>
        <w:t>Geothermal Finan</w:t>
      </w:r>
      <w:r w:rsidR="00AA33A0">
        <w:rPr>
          <w:noProof w:val="0"/>
          <w:lang w:val="en-US"/>
        </w:rPr>
        <w:t xml:space="preserve">cing and Risk Transfer </w:t>
      </w:r>
      <w:r w:rsidR="00A73D28">
        <w:rPr>
          <w:noProof w:val="0"/>
          <w:lang w:val="en-US"/>
        </w:rPr>
        <w:t>Program</w:t>
      </w:r>
      <w:r>
        <w:rPr>
          <w:noProof w:val="0"/>
          <w:lang w:val="en-US"/>
        </w:rPr>
        <w:t xml:space="preserve"> is conceptualized as a flexible instrument to </w:t>
      </w:r>
      <w:r w:rsidR="00B91352">
        <w:rPr>
          <w:noProof w:val="0"/>
          <w:lang w:val="en-US"/>
        </w:rPr>
        <w:t>support the development of private investment in</w:t>
      </w:r>
      <w:r w:rsidR="00444420">
        <w:rPr>
          <w:noProof w:val="0"/>
          <w:lang w:val="en-US"/>
        </w:rPr>
        <w:t xml:space="preserve"> </w:t>
      </w:r>
      <w:r w:rsidR="003F1F05">
        <w:rPr>
          <w:noProof w:val="0"/>
          <w:lang w:val="en-US"/>
        </w:rPr>
        <w:t xml:space="preserve">geothermal </w:t>
      </w:r>
      <w:r w:rsidR="00444420">
        <w:rPr>
          <w:noProof w:val="0"/>
          <w:lang w:val="en-US"/>
        </w:rPr>
        <w:t>energy</w:t>
      </w:r>
      <w:r w:rsidR="00B91352">
        <w:rPr>
          <w:noProof w:val="0"/>
          <w:lang w:val="en-US"/>
        </w:rPr>
        <w:t>, a</w:t>
      </w:r>
      <w:r w:rsidR="00444420">
        <w:rPr>
          <w:noProof w:val="0"/>
          <w:lang w:val="en-US"/>
        </w:rPr>
        <w:t xml:space="preserve"> sector of common interest between the Bank and the Government of Mexico (</w:t>
      </w:r>
      <w:proofErr w:type="spellStart"/>
      <w:r w:rsidR="00444420">
        <w:rPr>
          <w:noProof w:val="0"/>
          <w:lang w:val="en-US"/>
        </w:rPr>
        <w:t>GoM</w:t>
      </w:r>
      <w:proofErr w:type="spellEnd"/>
      <w:r w:rsidR="00444420">
        <w:rPr>
          <w:noProof w:val="0"/>
          <w:lang w:val="en-US"/>
        </w:rPr>
        <w:t>)</w:t>
      </w:r>
      <w:r w:rsidR="00B91352">
        <w:rPr>
          <w:noProof w:val="0"/>
          <w:lang w:val="en-US"/>
        </w:rPr>
        <w:t xml:space="preserve"> due to its high efficiency and positive environmental impacts</w:t>
      </w:r>
      <w:r w:rsidR="00444420">
        <w:rPr>
          <w:noProof w:val="0"/>
          <w:lang w:val="en-US"/>
        </w:rPr>
        <w:t>.</w:t>
      </w:r>
    </w:p>
    <w:p w:rsidR="00EE6A31" w:rsidRPr="00D609AB" w:rsidRDefault="00EE6A31" w:rsidP="00EE6A31">
      <w:pPr>
        <w:pStyle w:val="AutoNumpara"/>
        <w:rPr>
          <w:noProof w:val="0"/>
          <w:lang w:val="en-US"/>
        </w:rPr>
      </w:pPr>
      <w:r w:rsidRPr="00DB4BA1">
        <w:rPr>
          <w:noProof w:val="0"/>
          <w:lang w:val="en-US"/>
        </w:rPr>
        <w:t>In the current context of global climate change, governments in emerging economies have to face the important challenge of responding to increasing demands for energy while maximizing their system’s security of supply, efficiency and sustainability. Investments in power generation from clean sources play a big role in this process, contributing to diversifying the countries’ energy matrixes and mitigating the negative environmental impacts of conventional power technologies.</w:t>
      </w:r>
    </w:p>
    <w:p w:rsidR="00444420" w:rsidRPr="00DB4BA1" w:rsidRDefault="00444420" w:rsidP="00444420">
      <w:pPr>
        <w:pStyle w:val="AutoNumpara"/>
        <w:rPr>
          <w:lang w:val="en-US"/>
        </w:rPr>
      </w:pPr>
      <w:r w:rsidRPr="00DB4BA1">
        <w:rPr>
          <w:lang w:val="en-US"/>
        </w:rPr>
        <w:t>Mexico is the world’s thirteenth largest greenhouse gas (GHG) emitter and the second CO</w:t>
      </w:r>
      <w:r w:rsidRPr="00DB4BA1">
        <w:rPr>
          <w:vertAlign w:val="subscript"/>
          <w:lang w:val="en-US"/>
        </w:rPr>
        <w:t>2</w:t>
      </w:r>
      <w:r w:rsidRPr="00DB4BA1">
        <w:rPr>
          <w:lang w:val="en-US"/>
        </w:rPr>
        <w:t xml:space="preserve"> emitter in Latin America. The country has voluntarily committed to reducing its GHG emissions up to 3</w:t>
      </w:r>
      <w:r w:rsidR="0009138A">
        <w:rPr>
          <w:lang w:val="en-US"/>
        </w:rPr>
        <w:t>0</w:t>
      </w:r>
      <w:r w:rsidRPr="00DB4BA1">
        <w:rPr>
          <w:lang w:val="en-US"/>
        </w:rPr>
        <w:t>% by 2020, with respect to the business as usual scenario (LGCC)</w:t>
      </w:r>
      <w:r>
        <w:rPr>
          <w:rStyle w:val="FootnoteReference"/>
        </w:rPr>
        <w:footnoteReference w:id="1"/>
      </w:r>
      <w:r w:rsidRPr="00DB4BA1">
        <w:rPr>
          <w:lang w:val="en-US"/>
        </w:rPr>
        <w:t>. Almost 60% of the potential for these reductions comes from the energy sector, mainly transport and power generation. The LGCC also sets the specific target of achieving 35% of power generation from non-fossil-fuel-based sources of energy by 2024. But over 80% of Mexico’s electricity production still comes from fossil fuels, imposing the need for a transformation of the country’s power generation system in a sustainable and cost efficient way.</w:t>
      </w:r>
    </w:p>
    <w:p w:rsidR="00444420" w:rsidRPr="00DB4BA1" w:rsidRDefault="00444420" w:rsidP="00444420">
      <w:pPr>
        <w:pStyle w:val="AutoNumpara"/>
        <w:rPr>
          <w:lang w:val="en-US"/>
        </w:rPr>
      </w:pPr>
      <w:r w:rsidRPr="00DB4BA1">
        <w:rPr>
          <w:lang w:val="en-US"/>
        </w:rPr>
        <w:t>According to a study carried out by INECC</w:t>
      </w:r>
      <w:r>
        <w:rPr>
          <w:rStyle w:val="FootnoteReference"/>
        </w:rPr>
        <w:footnoteReference w:id="2"/>
      </w:r>
      <w:r w:rsidRPr="00DB4BA1">
        <w:rPr>
          <w:lang w:val="en-US"/>
        </w:rPr>
        <w:t xml:space="preserve">, the potential for GHG emissions abatement through clean energy generation by 2020 is </w:t>
      </w:r>
      <w:r w:rsidR="00084AEE">
        <w:rPr>
          <w:lang w:val="en-US"/>
        </w:rPr>
        <w:t>86</w:t>
      </w:r>
      <w:r w:rsidRPr="00DB4BA1">
        <w:rPr>
          <w:lang w:val="en-US"/>
        </w:rPr>
        <w:t xml:space="preserve"> MtCO</w:t>
      </w:r>
      <w:r w:rsidRPr="00DB4BA1">
        <w:rPr>
          <w:vertAlign w:val="subscript"/>
          <w:lang w:val="en-US"/>
        </w:rPr>
        <w:t>2</w:t>
      </w:r>
      <w:r w:rsidRPr="00DB4BA1">
        <w:rPr>
          <w:lang w:val="en-US"/>
        </w:rPr>
        <w:t>e, equivalent to 23% of theoretical reduction potential identified. But despite Mexico’s great potential for the use of clean power sources, most of it still remains relatively untapped. The study shows that the marginal cost of abatement of geothermal is very low compared to those based on fossil fuels use.</w:t>
      </w:r>
    </w:p>
    <w:p w:rsidR="00EE6A31" w:rsidRPr="00D569A9" w:rsidRDefault="00444420" w:rsidP="00D569A9">
      <w:pPr>
        <w:pStyle w:val="AutoNumpara"/>
        <w:rPr>
          <w:lang w:val="en-US"/>
        </w:rPr>
      </w:pPr>
      <w:r w:rsidRPr="00DB4BA1">
        <w:rPr>
          <w:lang w:val="en-US"/>
        </w:rPr>
        <w:t xml:space="preserve">Geothermal energy offers one of the most effective renewable and low carbon alternatives for electricity generation, opening up the possibility of increasing the share of clean sources in Mexico’s energy matrix. Furthermore, the role of geothermal power goes beyond its environmental contribution because it can produce significant economic and social benefits. </w:t>
      </w:r>
    </w:p>
    <w:p w:rsidR="00D569A9" w:rsidRPr="00D569A9" w:rsidRDefault="00D569A9" w:rsidP="00D569A9">
      <w:pPr>
        <w:pStyle w:val="AutoNumpara"/>
        <w:rPr>
          <w:lang w:val="en-US"/>
        </w:rPr>
      </w:pPr>
      <w:r w:rsidRPr="00DB4BA1">
        <w:rPr>
          <w:lang w:val="en-US"/>
        </w:rPr>
        <w:t xml:space="preserve">The objective of the program is to </w:t>
      </w:r>
      <w:r w:rsidR="00CA1A28">
        <w:rPr>
          <w:lang w:val="en-US"/>
        </w:rPr>
        <w:t xml:space="preserve">increase power production from geothermal sources so as to </w:t>
      </w:r>
      <w:r w:rsidRPr="00DB4BA1">
        <w:rPr>
          <w:lang w:val="en-US"/>
        </w:rPr>
        <w:t>contribute to the diversification of the energy matrix so as to reduce dependency on fossil fuels and GHG emissions in Mexico. To this end, the program intends to scale up investments in geothermal power generation projects by making available a range of financial mechanisms tailored to meet the specific needs for each project’s stage of development. This will include risk mitigation mechanisms as well as various forms of financing for exploration, drilling, field development and construction phases of geothermal projects.</w:t>
      </w:r>
    </w:p>
    <w:p w:rsidR="00EE6A31" w:rsidRPr="00D609AB" w:rsidRDefault="00EE6A31" w:rsidP="00D609AB">
      <w:pPr>
        <w:pStyle w:val="ListParagraph"/>
        <w:tabs>
          <w:tab w:val="left" w:pos="1440"/>
          <w:tab w:val="left" w:pos="3060"/>
        </w:tabs>
        <w:ind w:left="450"/>
        <w:outlineLvl w:val="0"/>
        <w:rPr>
          <w:rFonts w:ascii="Times New Roman" w:hAnsi="Times New Roman" w:cs="Times New Roman"/>
          <w:b/>
          <w:noProof/>
          <w:sz w:val="28"/>
          <w:szCs w:val="28"/>
        </w:rPr>
      </w:pPr>
    </w:p>
    <w:p w:rsidR="00AA33A0" w:rsidRPr="004424E9" w:rsidRDefault="00D609AB" w:rsidP="004424E9">
      <w:pPr>
        <w:pStyle w:val="ListParagraph"/>
        <w:numPr>
          <w:ilvl w:val="1"/>
          <w:numId w:val="2"/>
        </w:numPr>
        <w:tabs>
          <w:tab w:val="left" w:pos="540"/>
          <w:tab w:val="left" w:pos="1440"/>
          <w:tab w:val="left" w:pos="3060"/>
        </w:tabs>
        <w:ind w:left="450"/>
        <w:outlineLvl w:val="0"/>
        <w:rPr>
          <w:rFonts w:ascii="Times New Roman Bold" w:hAnsi="Times New Roman Bold" w:cs="Times New Roman"/>
          <w:b/>
          <w:smallCaps/>
          <w:noProof/>
          <w:sz w:val="28"/>
          <w:szCs w:val="28"/>
        </w:rPr>
      </w:pPr>
      <w:bookmarkStart w:id="3" w:name="_Toc375150054"/>
      <w:r w:rsidRPr="004424E9">
        <w:rPr>
          <w:rFonts w:ascii="Times New Roman Bold" w:hAnsi="Times New Roman Bold" w:cs="Times New Roman"/>
          <w:b/>
          <w:smallCaps/>
          <w:noProof/>
          <w:sz w:val="28"/>
          <w:szCs w:val="28"/>
        </w:rPr>
        <w:t>Scheme for implementation and monitoring</w:t>
      </w:r>
      <w:bookmarkEnd w:id="3"/>
    </w:p>
    <w:p w:rsidR="00BB0280" w:rsidRPr="00BB0280" w:rsidRDefault="00BB0280" w:rsidP="00BB0280">
      <w:pPr>
        <w:pStyle w:val="AutoNumpara"/>
        <w:tabs>
          <w:tab w:val="clear" w:pos="720"/>
        </w:tabs>
        <w:rPr>
          <w:lang w:val="en-US"/>
        </w:rPr>
      </w:pPr>
      <w:r w:rsidRPr="00BB0280">
        <w:rPr>
          <w:lang w:val="en-US"/>
        </w:rPr>
        <w:t xml:space="preserve">The borrower and executing agency for the program will be Nacional Financiera, S.N.C. (NAFIN), with the United Mexican States serving as guarantor. </w:t>
      </w:r>
      <w:r w:rsidRPr="00FC2009">
        <w:rPr>
          <w:lang w:val="en-US"/>
        </w:rPr>
        <w:t>NAFIN is a national credit institution established to promote savings and investment and to channel financial and technical support for Mexico’s industrial and economic development. NAFIN’s corporate goals and mandate include supporting projects related to the use of clean and efficient energy</w:t>
      </w:r>
      <w:r>
        <w:rPr>
          <w:rStyle w:val="FootnoteReference"/>
        </w:rPr>
        <w:footnoteReference w:id="3"/>
      </w:r>
      <w:r w:rsidRPr="00FC2009">
        <w:rPr>
          <w:lang w:val="en-US"/>
        </w:rPr>
        <w:t>. In this sense, NAFIN has been working on: i) the development of a portfolio of eligible projects, ii) improving their technical, financial and environmental capabilities, in both the energy and infrastructure sectors and with IDB support</w:t>
      </w:r>
      <w:r>
        <w:rPr>
          <w:rStyle w:val="FootnoteReference"/>
        </w:rPr>
        <w:footnoteReference w:id="4"/>
      </w:r>
      <w:r w:rsidRPr="00FC2009">
        <w:rPr>
          <w:lang w:val="en-US"/>
        </w:rPr>
        <w:t>, and iii) strengthening their network of intermediaries with capacity to channel funding to high risk projects.</w:t>
      </w:r>
    </w:p>
    <w:p w:rsidR="00BB0280" w:rsidRDefault="00BB0280" w:rsidP="00BB0280">
      <w:pPr>
        <w:pStyle w:val="AutoNumpara"/>
        <w:tabs>
          <w:tab w:val="clear" w:pos="720"/>
        </w:tabs>
        <w:rPr>
          <w:lang w:val="en-US"/>
        </w:rPr>
      </w:pPr>
      <w:r w:rsidRPr="00BB0280">
        <w:rPr>
          <w:lang w:val="en-US"/>
        </w:rPr>
        <w:t xml:space="preserve">NAFIN is a solvent institution with exemplary risk management practices and the full backing of the Mexican government. </w:t>
      </w:r>
      <w:r w:rsidRPr="00FC2009">
        <w:rPr>
          <w:lang w:val="en-US"/>
        </w:rPr>
        <w:t xml:space="preserve">NAFIN also has an excellent record of cooperation with the IDB, contributing actively to the </w:t>
      </w:r>
      <w:r w:rsidR="003F1F05">
        <w:rPr>
          <w:lang w:val="en-US"/>
        </w:rPr>
        <w:t xml:space="preserve">acitivities included in the </w:t>
      </w:r>
      <w:r w:rsidRPr="00FC2009">
        <w:rPr>
          <w:lang w:val="en-US"/>
        </w:rPr>
        <w:t xml:space="preserve">country program of the IDB with Mexico. </w:t>
      </w:r>
      <w:r w:rsidRPr="00BB0280">
        <w:rPr>
          <w:lang w:val="en-US"/>
        </w:rPr>
        <w:t>So far, NAFIN has processed three operations for a total of US$250 million from the CCLIP ME-X1010</w:t>
      </w:r>
      <w:r>
        <w:rPr>
          <w:rStyle w:val="FootnoteReference"/>
        </w:rPr>
        <w:footnoteReference w:id="5"/>
      </w:r>
      <w:r w:rsidRPr="00BB0280">
        <w:rPr>
          <w:lang w:val="en-US"/>
        </w:rPr>
        <w:t>, proving to be an executor with extensive experience in the management of resources to support private sector projects focused on energy efficiency, energy generation from renewable sources and, in general, to promote sustainable development.</w:t>
      </w:r>
    </w:p>
    <w:p w:rsidR="00B602D1" w:rsidRPr="00AA33A0" w:rsidRDefault="00B602D1" w:rsidP="00B602D1">
      <w:pPr>
        <w:pStyle w:val="AutoNumpara"/>
        <w:rPr>
          <w:lang w:val="en-US"/>
        </w:rPr>
      </w:pPr>
      <w:r w:rsidRPr="00D569A9">
        <w:rPr>
          <w:lang w:val="en-US"/>
        </w:rPr>
        <w:t xml:space="preserve">NAFIN </w:t>
      </w:r>
      <w:r>
        <w:rPr>
          <w:lang w:val="en-US"/>
        </w:rPr>
        <w:t xml:space="preserve">will </w:t>
      </w:r>
      <w:r w:rsidRPr="00D569A9">
        <w:rPr>
          <w:lang w:val="en-US"/>
        </w:rPr>
        <w:t>implement the program under its current organizational structure. The</w:t>
      </w:r>
      <w:r>
        <w:rPr>
          <w:lang w:val="en-US"/>
        </w:rPr>
        <w:t xml:space="preserve"> operational</w:t>
      </w:r>
      <w:r w:rsidRPr="00D569A9">
        <w:rPr>
          <w:lang w:val="en-US"/>
        </w:rPr>
        <w:t xml:space="preserve"> rules governing th</w:t>
      </w:r>
      <w:r>
        <w:rPr>
          <w:lang w:val="en-US"/>
        </w:rPr>
        <w:t xml:space="preserve">e implementation of the program </w:t>
      </w:r>
      <w:r w:rsidRPr="00D569A9">
        <w:rPr>
          <w:lang w:val="en-US"/>
        </w:rPr>
        <w:t>and the eligibility of individual credits</w:t>
      </w:r>
      <w:r>
        <w:rPr>
          <w:lang w:val="en-US"/>
        </w:rPr>
        <w:t xml:space="preserve"> or grants</w:t>
      </w:r>
      <w:r w:rsidRPr="00D569A9">
        <w:rPr>
          <w:lang w:val="en-US"/>
        </w:rPr>
        <w:t xml:space="preserve"> will be established in the </w:t>
      </w:r>
      <w:r>
        <w:rPr>
          <w:lang w:val="en-US"/>
        </w:rPr>
        <w:t>program’s Operating Regulations (OR)</w:t>
      </w:r>
      <w:r w:rsidRPr="00D569A9">
        <w:rPr>
          <w:lang w:val="en-US"/>
        </w:rPr>
        <w:t xml:space="preserve"> ag</w:t>
      </w:r>
      <w:r>
        <w:rPr>
          <w:lang w:val="en-US"/>
        </w:rPr>
        <w:t>reed between the Bank and NAFIN</w:t>
      </w:r>
      <w:r w:rsidRPr="00D569A9">
        <w:rPr>
          <w:lang w:val="en-US"/>
        </w:rPr>
        <w:t xml:space="preserve">, </w:t>
      </w:r>
      <w:r w:rsidRPr="000B5407">
        <w:rPr>
          <w:noProof w:val="0"/>
          <w:lang w:val="en-US"/>
        </w:rPr>
        <w:t>based on the rules</w:t>
      </w:r>
      <w:r>
        <w:rPr>
          <w:noProof w:val="0"/>
          <w:lang w:val="en-US"/>
        </w:rPr>
        <w:t>,</w:t>
      </w:r>
      <w:r w:rsidRPr="000B5407">
        <w:rPr>
          <w:noProof w:val="0"/>
          <w:lang w:val="en-US"/>
        </w:rPr>
        <w:t xml:space="preserve"> policies</w:t>
      </w:r>
      <w:r>
        <w:rPr>
          <w:noProof w:val="0"/>
          <w:lang w:val="en-US"/>
        </w:rPr>
        <w:t xml:space="preserve">, </w:t>
      </w:r>
      <w:r w:rsidRPr="000B5407">
        <w:rPr>
          <w:noProof w:val="0"/>
          <w:lang w:val="en-US"/>
        </w:rPr>
        <w:t>laws</w:t>
      </w:r>
      <w:r>
        <w:rPr>
          <w:noProof w:val="0"/>
          <w:lang w:val="en-US"/>
        </w:rPr>
        <w:t>,</w:t>
      </w:r>
      <w:r w:rsidRPr="000B5407">
        <w:rPr>
          <w:noProof w:val="0"/>
          <w:lang w:val="en-US"/>
        </w:rPr>
        <w:t xml:space="preserve"> and financial practices prevailing in the count</w:t>
      </w:r>
      <w:r>
        <w:rPr>
          <w:noProof w:val="0"/>
          <w:lang w:val="en-US"/>
        </w:rPr>
        <w:t>ry and the Bank's no objection</w:t>
      </w:r>
      <w:r w:rsidRPr="00D569A9">
        <w:rPr>
          <w:lang w:val="en-US"/>
        </w:rPr>
        <w:t>.</w:t>
      </w:r>
    </w:p>
    <w:p w:rsidR="007408A0" w:rsidRDefault="00E41C65" w:rsidP="007408A0">
      <w:pPr>
        <w:pStyle w:val="AutoNumpara"/>
        <w:rPr>
          <w:lang w:val="en-US"/>
        </w:rPr>
      </w:pPr>
      <w:r>
        <w:rPr>
          <w:lang w:val="en-US"/>
        </w:rPr>
        <w:t>NAFIN</w:t>
      </w:r>
      <w:r w:rsidR="00AA33A0" w:rsidRPr="000B5407">
        <w:rPr>
          <w:lang w:val="en-US"/>
        </w:rPr>
        <w:t xml:space="preserve"> will be the Executing Agency of the </w:t>
      </w:r>
      <w:r w:rsidR="00B602D1">
        <w:rPr>
          <w:lang w:val="en-US"/>
        </w:rPr>
        <w:t>program</w:t>
      </w:r>
      <w:r w:rsidR="00B602D1" w:rsidRPr="000B5407">
        <w:rPr>
          <w:lang w:val="en-US"/>
        </w:rPr>
        <w:t xml:space="preserve"> </w:t>
      </w:r>
      <w:r w:rsidR="00AA33A0" w:rsidRPr="000B5407">
        <w:rPr>
          <w:lang w:val="en-US"/>
        </w:rPr>
        <w:t xml:space="preserve">and will rely </w:t>
      </w:r>
      <w:r w:rsidR="00AA33A0">
        <w:rPr>
          <w:lang w:val="en-US"/>
        </w:rPr>
        <w:t>o</w:t>
      </w:r>
      <w:r w:rsidR="00AA33A0" w:rsidRPr="000B5407">
        <w:rPr>
          <w:lang w:val="en-US"/>
        </w:rPr>
        <w:t xml:space="preserve">n the following General Directorates for </w:t>
      </w:r>
      <w:r w:rsidR="00B602D1">
        <w:rPr>
          <w:lang w:val="en-US"/>
        </w:rPr>
        <w:t>its</w:t>
      </w:r>
      <w:r w:rsidR="00B602D1" w:rsidRPr="000B5407">
        <w:rPr>
          <w:lang w:val="en-US"/>
        </w:rPr>
        <w:t xml:space="preserve"> </w:t>
      </w:r>
      <w:r w:rsidR="00AA33A0" w:rsidRPr="000B5407">
        <w:rPr>
          <w:lang w:val="en-US"/>
        </w:rPr>
        <w:t>implementation:</w:t>
      </w:r>
    </w:p>
    <w:p w:rsidR="007408A0" w:rsidRPr="007408A0" w:rsidRDefault="00AA33A0" w:rsidP="007408A0">
      <w:pPr>
        <w:pStyle w:val="Heading4"/>
        <w:rPr>
          <w:lang w:val="en-US"/>
        </w:rPr>
      </w:pPr>
      <w:r w:rsidRPr="007408A0">
        <w:rPr>
          <w:rFonts w:ascii="Times New Roman" w:hAnsi="Times New Roman"/>
          <w:b w:val="0"/>
          <w:lang w:val="en-US"/>
        </w:rPr>
        <w:t xml:space="preserve">The </w:t>
      </w:r>
      <w:r w:rsidR="00B602D1">
        <w:rPr>
          <w:rFonts w:ascii="Times New Roman" w:hAnsi="Times New Roman"/>
          <w:b w:val="0"/>
          <w:lang w:val="en-US"/>
        </w:rPr>
        <w:t>Dirección de Tesorería</w:t>
      </w:r>
      <w:r w:rsidR="00E50DBC">
        <w:rPr>
          <w:rFonts w:ascii="Times New Roman" w:hAnsi="Times New Roman"/>
          <w:b w:val="0"/>
          <w:lang w:val="en-US"/>
        </w:rPr>
        <w:t xml:space="preserve"> </w:t>
      </w:r>
      <w:r w:rsidRPr="007408A0">
        <w:rPr>
          <w:rFonts w:ascii="Times New Roman" w:hAnsi="Times New Roman"/>
          <w:b w:val="0"/>
          <w:lang w:val="en-US"/>
        </w:rPr>
        <w:t>shall: (i) select the funding sources and optimiz</w:t>
      </w:r>
      <w:r w:rsidR="00B602D1">
        <w:rPr>
          <w:rFonts w:ascii="Times New Roman" w:hAnsi="Times New Roman"/>
          <w:b w:val="0"/>
          <w:lang w:val="en-US"/>
        </w:rPr>
        <w:t>e</w:t>
      </w:r>
      <w:r w:rsidRPr="007408A0">
        <w:rPr>
          <w:rFonts w:ascii="Times New Roman" w:hAnsi="Times New Roman"/>
          <w:b w:val="0"/>
          <w:lang w:val="en-US"/>
        </w:rPr>
        <w:t xml:space="preserve"> th</w:t>
      </w:r>
      <w:r w:rsidR="00E41C65" w:rsidRPr="007408A0">
        <w:rPr>
          <w:rFonts w:ascii="Times New Roman" w:hAnsi="Times New Roman"/>
          <w:b w:val="0"/>
          <w:lang w:val="en-US"/>
        </w:rPr>
        <w:t>e allocation of resources in NAFIN</w:t>
      </w:r>
      <w:r w:rsidRPr="007408A0">
        <w:rPr>
          <w:rFonts w:ascii="Times New Roman" w:hAnsi="Times New Roman"/>
          <w:b w:val="0"/>
          <w:lang w:val="en-US"/>
        </w:rPr>
        <w:t xml:space="preserve">, (ii) administer the proceeds of the </w:t>
      </w:r>
      <w:r w:rsidR="00B602D1">
        <w:rPr>
          <w:rFonts w:ascii="Times New Roman" w:hAnsi="Times New Roman"/>
          <w:b w:val="0"/>
          <w:lang w:val="en-US"/>
        </w:rPr>
        <w:t>l</w:t>
      </w:r>
      <w:r w:rsidRPr="007408A0">
        <w:rPr>
          <w:rFonts w:ascii="Times New Roman" w:hAnsi="Times New Roman"/>
          <w:b w:val="0"/>
          <w:lang w:val="en-US"/>
        </w:rPr>
        <w:t>oan, (iii) prepa</w:t>
      </w:r>
      <w:r w:rsidR="00DC7203" w:rsidRPr="007408A0">
        <w:rPr>
          <w:rFonts w:ascii="Times New Roman" w:hAnsi="Times New Roman"/>
          <w:b w:val="0"/>
          <w:lang w:val="en-US"/>
        </w:rPr>
        <w:t xml:space="preserve">re </w:t>
      </w:r>
      <w:r w:rsidR="00DC7203" w:rsidRPr="007408A0">
        <w:rPr>
          <w:rFonts w:ascii="Times New Roman" w:eastAsia="MS Mincho" w:hAnsi="Times New Roman"/>
          <w:b w:val="0"/>
          <w:noProof w:val="0"/>
          <w:szCs w:val="16"/>
          <w:lang w:val="en-US" w:eastAsia="zh-CN"/>
        </w:rPr>
        <w:t xml:space="preserve">financial reporting, and </w:t>
      </w:r>
      <w:proofErr w:type="gramStart"/>
      <w:r w:rsidRPr="007408A0">
        <w:rPr>
          <w:rFonts w:ascii="Times New Roman" w:eastAsia="MS Mincho" w:hAnsi="Times New Roman"/>
          <w:b w:val="0"/>
          <w:noProof w:val="0"/>
          <w:szCs w:val="16"/>
          <w:lang w:val="en-US" w:eastAsia="zh-CN"/>
        </w:rPr>
        <w:t>(iv) make</w:t>
      </w:r>
      <w:proofErr w:type="gramEnd"/>
      <w:r w:rsidRPr="007408A0">
        <w:rPr>
          <w:rFonts w:ascii="Times New Roman" w:eastAsia="MS Mincho" w:hAnsi="Times New Roman"/>
          <w:b w:val="0"/>
          <w:noProof w:val="0"/>
          <w:szCs w:val="16"/>
          <w:lang w:val="en-US" w:eastAsia="zh-CN"/>
        </w:rPr>
        <w:t xml:space="preserve"> requests for disbursements of the </w:t>
      </w:r>
      <w:r w:rsidR="00B602D1">
        <w:rPr>
          <w:rFonts w:ascii="Times New Roman" w:eastAsia="MS Mincho" w:hAnsi="Times New Roman"/>
          <w:b w:val="0"/>
          <w:noProof w:val="0"/>
          <w:szCs w:val="16"/>
          <w:lang w:val="en-US" w:eastAsia="zh-CN"/>
        </w:rPr>
        <w:t>l</w:t>
      </w:r>
      <w:r w:rsidRPr="007408A0">
        <w:rPr>
          <w:rFonts w:ascii="Times New Roman" w:eastAsia="MS Mincho" w:hAnsi="Times New Roman"/>
          <w:b w:val="0"/>
          <w:noProof w:val="0"/>
          <w:szCs w:val="16"/>
          <w:lang w:val="en-US" w:eastAsia="zh-CN"/>
        </w:rPr>
        <w:t>oan and corresponding debt service and payments.</w:t>
      </w:r>
    </w:p>
    <w:p w:rsidR="007408A0" w:rsidRPr="007408A0" w:rsidRDefault="00AA33A0" w:rsidP="007408A0">
      <w:pPr>
        <w:pStyle w:val="Heading4"/>
        <w:rPr>
          <w:rFonts w:ascii="Times New Roman" w:hAnsi="Times New Roman"/>
          <w:b w:val="0"/>
          <w:lang w:val="en-US"/>
        </w:rPr>
      </w:pPr>
      <w:r w:rsidRPr="007408A0">
        <w:rPr>
          <w:rFonts w:ascii="Times New Roman" w:hAnsi="Times New Roman"/>
          <w:b w:val="0"/>
          <w:lang w:val="en-US"/>
        </w:rPr>
        <w:t xml:space="preserve">The </w:t>
      </w:r>
      <w:r w:rsidR="00B602D1">
        <w:rPr>
          <w:rFonts w:ascii="Times New Roman" w:hAnsi="Times New Roman"/>
          <w:b w:val="0"/>
          <w:lang w:val="en-US"/>
        </w:rPr>
        <w:t>D</w:t>
      </w:r>
      <w:r w:rsidR="00E50DBC">
        <w:rPr>
          <w:rFonts w:ascii="Times New Roman" w:hAnsi="Times New Roman"/>
          <w:b w:val="0"/>
          <w:lang w:val="en-US"/>
        </w:rPr>
        <w:t>irecció</w:t>
      </w:r>
      <w:r w:rsidR="00B602D1">
        <w:rPr>
          <w:rFonts w:ascii="Times New Roman" w:hAnsi="Times New Roman"/>
          <w:b w:val="0"/>
          <w:lang w:val="en-US"/>
        </w:rPr>
        <w:t>n de Organismos Financieros Internacionales</w:t>
      </w:r>
      <w:r w:rsidR="00294BA4">
        <w:rPr>
          <w:rFonts w:ascii="Times New Roman" w:hAnsi="Times New Roman"/>
          <w:b w:val="0"/>
          <w:lang w:val="en-US"/>
        </w:rPr>
        <w:t xml:space="preserve"> (DOFI)</w:t>
      </w:r>
      <w:r w:rsidRPr="007408A0">
        <w:rPr>
          <w:rFonts w:ascii="Times New Roman" w:hAnsi="Times New Roman"/>
          <w:b w:val="0"/>
          <w:lang w:val="en-US"/>
        </w:rPr>
        <w:t xml:space="preserve">, </w:t>
      </w:r>
      <w:r w:rsidR="00DC7203" w:rsidRPr="007408A0">
        <w:rPr>
          <w:rFonts w:ascii="Times New Roman" w:hAnsi="Times New Roman"/>
          <w:b w:val="0"/>
          <w:lang w:val="en-US"/>
        </w:rPr>
        <w:t xml:space="preserve">in </w:t>
      </w:r>
      <w:r w:rsidR="00B602D1">
        <w:rPr>
          <w:rFonts w:ascii="Times New Roman" w:hAnsi="Times New Roman"/>
          <w:b w:val="0"/>
          <w:lang w:val="en-US"/>
        </w:rPr>
        <w:t>its</w:t>
      </w:r>
      <w:r w:rsidR="00B602D1" w:rsidRPr="007408A0">
        <w:rPr>
          <w:rFonts w:ascii="Times New Roman" w:hAnsi="Times New Roman"/>
          <w:b w:val="0"/>
          <w:lang w:val="en-US"/>
        </w:rPr>
        <w:t xml:space="preserve"> </w:t>
      </w:r>
      <w:r w:rsidR="00DC7203" w:rsidRPr="007408A0">
        <w:rPr>
          <w:rFonts w:ascii="Times New Roman" w:hAnsi="Times New Roman"/>
          <w:b w:val="0"/>
          <w:lang w:val="en-US"/>
        </w:rPr>
        <w:t xml:space="preserve">capacity as </w:t>
      </w:r>
      <w:r w:rsidR="00E50DBC">
        <w:rPr>
          <w:rFonts w:ascii="Times New Roman" w:hAnsi="Times New Roman"/>
          <w:b w:val="0"/>
          <w:lang w:val="en-US"/>
        </w:rPr>
        <w:t>c</w:t>
      </w:r>
      <w:r w:rsidRPr="007408A0">
        <w:rPr>
          <w:rFonts w:ascii="Times New Roman" w:hAnsi="Times New Roman"/>
          <w:b w:val="0"/>
          <w:lang w:val="en-US"/>
        </w:rPr>
        <w:t xml:space="preserve">oordination </w:t>
      </w:r>
      <w:r w:rsidR="00E50DBC">
        <w:rPr>
          <w:rFonts w:ascii="Times New Roman" w:hAnsi="Times New Roman"/>
          <w:b w:val="0"/>
          <w:lang w:val="en-US"/>
        </w:rPr>
        <w:t>u</w:t>
      </w:r>
      <w:r w:rsidRPr="007408A0">
        <w:rPr>
          <w:rFonts w:ascii="Times New Roman" w:hAnsi="Times New Roman"/>
          <w:b w:val="0"/>
          <w:lang w:val="en-US"/>
        </w:rPr>
        <w:t>nit, will be the channel of communication and contact with the IDB. In this regard, it shall perform the following activities: (i) coordination and supervision of the activities (ii) monitoring compliance with contractual commitments, and (iii) coordination of visits and mission supervision.</w:t>
      </w:r>
      <w:r w:rsidR="00C8107D" w:rsidRPr="007408A0">
        <w:rPr>
          <w:rFonts w:ascii="Times New Roman" w:hAnsi="Times New Roman"/>
          <w:b w:val="0"/>
          <w:lang w:val="en-US"/>
        </w:rPr>
        <w:t xml:space="preserve"> Th</w:t>
      </w:r>
      <w:r w:rsidR="00E50DBC">
        <w:rPr>
          <w:rFonts w:ascii="Times New Roman" w:hAnsi="Times New Roman"/>
          <w:b w:val="0"/>
          <w:lang w:val="en-US"/>
        </w:rPr>
        <w:t>is</w:t>
      </w:r>
      <w:r w:rsidR="00C8107D" w:rsidRPr="007408A0">
        <w:rPr>
          <w:rFonts w:ascii="Times New Roman" w:hAnsi="Times New Roman"/>
          <w:b w:val="0"/>
          <w:lang w:val="en-US"/>
        </w:rPr>
        <w:t xml:space="preserve"> Direction</w:t>
      </w:r>
      <w:r w:rsidRPr="007408A0">
        <w:rPr>
          <w:rFonts w:ascii="Times New Roman" w:hAnsi="Times New Roman"/>
          <w:b w:val="0"/>
          <w:lang w:val="en-US"/>
        </w:rPr>
        <w:t xml:space="preserve"> will be the de facto Project Implementation Unit (PIU).</w:t>
      </w:r>
    </w:p>
    <w:p w:rsidR="00AA33A0" w:rsidRPr="007408A0" w:rsidRDefault="005712DA" w:rsidP="007408A0">
      <w:pPr>
        <w:pStyle w:val="Heading4"/>
        <w:rPr>
          <w:rFonts w:ascii="Times New Roman" w:hAnsi="Times New Roman"/>
          <w:b w:val="0"/>
          <w:lang w:val="en-US"/>
        </w:rPr>
      </w:pPr>
      <w:r w:rsidRPr="007408A0">
        <w:rPr>
          <w:rFonts w:ascii="Times New Roman" w:hAnsi="Times New Roman"/>
          <w:b w:val="0"/>
          <w:lang w:val="en-US"/>
        </w:rPr>
        <w:t xml:space="preserve">The </w:t>
      </w:r>
      <w:r w:rsidR="00E50DBC">
        <w:rPr>
          <w:rFonts w:ascii="Times New Roman" w:hAnsi="Times New Roman"/>
          <w:b w:val="0"/>
          <w:lang w:val="en-US"/>
        </w:rPr>
        <w:t>Dirección de Crédito and the Dirección de Riesgos</w:t>
      </w:r>
      <w:r w:rsidR="00E50DBC" w:rsidRPr="007408A0" w:rsidDel="00E50DBC">
        <w:rPr>
          <w:rFonts w:ascii="Times New Roman" w:hAnsi="Times New Roman"/>
          <w:b w:val="0"/>
          <w:lang w:val="en-US"/>
        </w:rPr>
        <w:t xml:space="preserve"> </w:t>
      </w:r>
      <w:r w:rsidR="00E50DBC">
        <w:rPr>
          <w:rFonts w:ascii="Times New Roman" w:hAnsi="Times New Roman"/>
          <w:b w:val="0"/>
          <w:lang w:val="en-US"/>
        </w:rPr>
        <w:t>will analyze the financial eligibility of the projects requesting</w:t>
      </w:r>
      <w:r w:rsidRPr="007408A0">
        <w:rPr>
          <w:rFonts w:ascii="Times New Roman" w:hAnsi="Times New Roman"/>
          <w:b w:val="0"/>
          <w:lang w:val="en-US"/>
        </w:rPr>
        <w:t xml:space="preserve"> funding </w:t>
      </w:r>
      <w:r w:rsidR="00E50DBC">
        <w:rPr>
          <w:rFonts w:ascii="Times New Roman" w:hAnsi="Times New Roman"/>
          <w:b w:val="0"/>
          <w:lang w:val="en-US"/>
        </w:rPr>
        <w:t>from</w:t>
      </w:r>
      <w:r w:rsidRPr="007408A0">
        <w:rPr>
          <w:rFonts w:ascii="Times New Roman" w:hAnsi="Times New Roman"/>
          <w:b w:val="0"/>
          <w:lang w:val="en-US"/>
        </w:rPr>
        <w:t xml:space="preserve"> the program. </w:t>
      </w:r>
    </w:p>
    <w:p w:rsidR="009C50CE" w:rsidRPr="009C50CE" w:rsidRDefault="009C50CE" w:rsidP="009C50CE">
      <w:pPr>
        <w:pStyle w:val="AutoNumpara"/>
        <w:rPr>
          <w:lang w:val="en-US"/>
        </w:rPr>
      </w:pPr>
      <w:r w:rsidRPr="009C50CE">
        <w:rPr>
          <w:lang w:val="en-US"/>
        </w:rPr>
        <w:t xml:space="preserve">NAFIN will grant financing (using resources from the </w:t>
      </w:r>
      <w:r w:rsidR="00E50DBC">
        <w:rPr>
          <w:lang w:val="en-US"/>
        </w:rPr>
        <w:t>p</w:t>
      </w:r>
      <w:r w:rsidRPr="009C50CE">
        <w:rPr>
          <w:lang w:val="en-US"/>
        </w:rPr>
        <w:t>rogram) as established in the</w:t>
      </w:r>
      <w:r w:rsidR="00E50DBC">
        <w:rPr>
          <w:lang w:val="en-US"/>
        </w:rPr>
        <w:t xml:space="preserve"> OR</w:t>
      </w:r>
      <w:r w:rsidRPr="009C50CE">
        <w:rPr>
          <w:lang w:val="en-US"/>
        </w:rPr>
        <w:t xml:space="preserve">. </w:t>
      </w:r>
      <w:r w:rsidRPr="001D6011">
        <w:rPr>
          <w:lang w:val="en-US"/>
        </w:rPr>
        <w:t>These conditions will include a maximum amount of resources from the program to be used per project, a minimum amount of capital required from the developer, the preexistence of all necessary permits and compliance with all environmental and social safeguards, and the financial and technical capacity necessary to develop a project of this nature.</w:t>
      </w:r>
    </w:p>
    <w:p w:rsidR="009C50CE" w:rsidRDefault="009C50CE" w:rsidP="00680792">
      <w:pPr>
        <w:pStyle w:val="AutoNumpara"/>
        <w:rPr>
          <w:lang w:val="en-US"/>
        </w:rPr>
      </w:pPr>
      <w:r w:rsidRPr="004424E9">
        <w:rPr>
          <w:lang w:val="en-US"/>
        </w:rPr>
        <w:t>All operations to be funded with the program must be approved by NAFIN, in accordance with its applicable regulations, and the Bank.</w:t>
      </w:r>
      <w:r w:rsidR="00A13A12">
        <w:rPr>
          <w:lang w:val="en-US"/>
        </w:rPr>
        <w:t xml:space="preserve"> </w:t>
      </w:r>
      <w:r w:rsidRPr="00A13A12">
        <w:rPr>
          <w:lang w:val="en-US"/>
        </w:rPr>
        <w:t xml:space="preserve">It is the responsibility of NAFIN to ensure that the sub-borrower is eligible for funding from the </w:t>
      </w:r>
      <w:r w:rsidR="00E50DBC" w:rsidRPr="00A13A12">
        <w:rPr>
          <w:lang w:val="en-US"/>
        </w:rPr>
        <w:t>p</w:t>
      </w:r>
      <w:r w:rsidRPr="00A13A12">
        <w:rPr>
          <w:lang w:val="en-US"/>
        </w:rPr>
        <w:t xml:space="preserve">rogram in accordance with the </w:t>
      </w:r>
      <w:r w:rsidR="00E50DBC" w:rsidRPr="00A13A12">
        <w:rPr>
          <w:lang w:val="en-US"/>
        </w:rPr>
        <w:t>p</w:t>
      </w:r>
      <w:r w:rsidRPr="00A13A12">
        <w:rPr>
          <w:lang w:val="en-US"/>
        </w:rPr>
        <w:t xml:space="preserve">rogram’s eligibility criteria, as defined in the </w:t>
      </w:r>
      <w:r w:rsidR="00E50DBC" w:rsidRPr="00A13A12">
        <w:rPr>
          <w:lang w:val="en-US"/>
        </w:rPr>
        <w:t>OR</w:t>
      </w:r>
      <w:r w:rsidRPr="00A13A12">
        <w:rPr>
          <w:lang w:val="en-US"/>
        </w:rPr>
        <w:t>.</w:t>
      </w:r>
    </w:p>
    <w:p w:rsidR="00A13A12" w:rsidRDefault="00A13A12" w:rsidP="00A13A12">
      <w:pPr>
        <w:pStyle w:val="AutoNumpara"/>
        <w:rPr>
          <w:lang w:val="en-US"/>
        </w:rPr>
      </w:pPr>
      <w:r w:rsidRPr="00A13A12">
        <w:rPr>
          <w:lang w:val="en-US"/>
        </w:rPr>
        <w:t>The program will be executed under two components</w:t>
      </w:r>
      <w:r>
        <w:rPr>
          <w:lang w:val="en-US"/>
        </w:rPr>
        <w:t xml:space="preserve"> for which corresponding outputs and costs are indicated in the following table:</w:t>
      </w:r>
    </w:p>
    <w:tbl>
      <w:tblPr>
        <w:tblStyle w:val="TableGrid1"/>
        <w:tblW w:w="8928" w:type="dxa"/>
        <w:tblInd w:w="720" w:type="dxa"/>
        <w:tblLayout w:type="fixed"/>
        <w:tblLook w:val="04A0" w:firstRow="1" w:lastRow="0" w:firstColumn="1" w:lastColumn="0" w:noHBand="0" w:noVBand="1"/>
      </w:tblPr>
      <w:tblGrid>
        <w:gridCol w:w="2898"/>
        <w:gridCol w:w="900"/>
        <w:gridCol w:w="900"/>
        <w:gridCol w:w="900"/>
        <w:gridCol w:w="900"/>
        <w:gridCol w:w="810"/>
        <w:gridCol w:w="810"/>
        <w:gridCol w:w="810"/>
      </w:tblGrid>
      <w:tr w:rsidR="00B97526" w:rsidRPr="000207A6" w:rsidTr="00B97526">
        <w:tc>
          <w:tcPr>
            <w:tcW w:w="8928" w:type="dxa"/>
            <w:gridSpan w:val="8"/>
            <w:tcBorders>
              <w:top w:val="nil"/>
              <w:left w:val="nil"/>
              <w:right w:val="nil"/>
            </w:tcBorders>
          </w:tcPr>
          <w:p w:rsidR="00B97526" w:rsidRPr="000207A6" w:rsidRDefault="00B97526" w:rsidP="00B97526">
            <w:pPr>
              <w:spacing w:before="80" w:after="80"/>
              <w:jc w:val="center"/>
              <w:outlineLvl w:val="1"/>
              <w:rPr>
                <w:rFonts w:ascii="Times New Roman" w:eastAsia="Calibri" w:hAnsi="Times New Roman"/>
                <w:b/>
                <w:sz w:val="20"/>
                <w:lang w:val="x-none" w:eastAsia="x-none"/>
              </w:rPr>
            </w:pPr>
            <w:r w:rsidRPr="000207A6">
              <w:rPr>
                <w:rFonts w:ascii="Times New Roman" w:eastAsia="Calibri" w:hAnsi="Times New Roman"/>
                <w:b/>
                <w:sz w:val="20"/>
                <w:lang w:val="x-none" w:eastAsia="x-none"/>
              </w:rPr>
              <w:t xml:space="preserve">Table </w:t>
            </w:r>
            <w:r w:rsidRPr="000207A6">
              <w:rPr>
                <w:rFonts w:ascii="Times New Roman" w:eastAsia="Calibri" w:hAnsi="Times New Roman"/>
                <w:b/>
                <w:sz w:val="20"/>
                <w:lang w:eastAsia="x-none"/>
              </w:rPr>
              <w:t>1</w:t>
            </w:r>
            <w:r w:rsidRPr="000207A6">
              <w:rPr>
                <w:rFonts w:ascii="Times New Roman" w:eastAsia="Calibri" w:hAnsi="Times New Roman"/>
                <w:b/>
                <w:sz w:val="20"/>
                <w:lang w:val="x-none" w:eastAsia="x-none"/>
              </w:rPr>
              <w:t xml:space="preserve">.1.- Costs of the program by </w:t>
            </w:r>
            <w:r w:rsidRPr="000207A6">
              <w:rPr>
                <w:rFonts w:ascii="Times New Roman" w:eastAsia="Calibri" w:hAnsi="Times New Roman"/>
                <w:b/>
                <w:sz w:val="20"/>
                <w:lang w:eastAsia="x-none"/>
              </w:rPr>
              <w:t>expected output</w:t>
            </w:r>
            <w:r w:rsidRPr="000207A6">
              <w:rPr>
                <w:rFonts w:ascii="Times New Roman" w:eastAsia="Calibri" w:hAnsi="Times New Roman"/>
                <w:b/>
                <w:sz w:val="20"/>
                <w:lang w:val="x-none" w:eastAsia="x-none"/>
              </w:rPr>
              <w:t xml:space="preserve"> (USD million)</w:t>
            </w:r>
          </w:p>
        </w:tc>
      </w:tr>
      <w:tr w:rsidR="00B97526" w:rsidRPr="000207A6" w:rsidTr="006A2F52">
        <w:tc>
          <w:tcPr>
            <w:tcW w:w="2898" w:type="dxa"/>
            <w:tcBorders>
              <w:bottom w:val="single" w:sz="4" w:space="0" w:color="auto"/>
            </w:tcBorders>
            <w:shd w:val="clear" w:color="auto" w:fill="D9D9D9" w:themeFill="background1" w:themeFillShade="D9"/>
          </w:tcPr>
          <w:p w:rsidR="00B97526" w:rsidRPr="000207A6" w:rsidRDefault="00B97526" w:rsidP="00B97526">
            <w:pPr>
              <w:spacing w:before="80" w:after="80"/>
              <w:jc w:val="both"/>
              <w:outlineLvl w:val="1"/>
              <w:rPr>
                <w:rFonts w:ascii="Times New Roman" w:eastAsiaTheme="minorHAnsi" w:hAnsi="Times New Roman"/>
                <w:b/>
                <w:sz w:val="20"/>
                <w:lang w:val="x-none" w:eastAsia="x-none"/>
              </w:rPr>
            </w:pPr>
            <w:r w:rsidRPr="000207A6">
              <w:rPr>
                <w:rFonts w:ascii="Times New Roman" w:eastAsia="Calibri" w:hAnsi="Times New Roman"/>
                <w:b/>
                <w:sz w:val="20"/>
                <w:lang w:val="x-none" w:eastAsia="x-none"/>
              </w:rPr>
              <w:t>Cost component</w:t>
            </w:r>
          </w:p>
        </w:tc>
        <w:tc>
          <w:tcPr>
            <w:tcW w:w="900" w:type="dxa"/>
            <w:tcBorders>
              <w:bottom w:val="single" w:sz="4" w:space="0" w:color="auto"/>
            </w:tcBorders>
            <w:shd w:val="clear" w:color="auto" w:fill="D9D9D9" w:themeFill="background1" w:themeFillShade="D9"/>
          </w:tcPr>
          <w:p w:rsidR="00B97526" w:rsidRPr="000207A6" w:rsidRDefault="00B97526" w:rsidP="00B97526">
            <w:pPr>
              <w:spacing w:before="80" w:after="80"/>
              <w:jc w:val="center"/>
              <w:outlineLvl w:val="1"/>
              <w:rPr>
                <w:rFonts w:ascii="Times New Roman" w:eastAsia="Calibri" w:hAnsi="Times New Roman"/>
                <w:b/>
                <w:sz w:val="20"/>
                <w:lang w:eastAsia="x-none"/>
              </w:rPr>
            </w:pPr>
            <w:r w:rsidRPr="000207A6">
              <w:rPr>
                <w:rFonts w:ascii="Times New Roman" w:eastAsia="Calibri" w:hAnsi="Times New Roman"/>
                <w:b/>
                <w:sz w:val="20"/>
                <w:lang w:eastAsia="x-none"/>
              </w:rPr>
              <w:t>Y1</w:t>
            </w:r>
          </w:p>
        </w:tc>
        <w:tc>
          <w:tcPr>
            <w:tcW w:w="900" w:type="dxa"/>
            <w:tcBorders>
              <w:bottom w:val="single" w:sz="4" w:space="0" w:color="auto"/>
            </w:tcBorders>
            <w:shd w:val="clear" w:color="auto" w:fill="D9D9D9" w:themeFill="background1" w:themeFillShade="D9"/>
          </w:tcPr>
          <w:p w:rsidR="00B97526" w:rsidRPr="000207A6" w:rsidRDefault="00B97526" w:rsidP="00B97526">
            <w:pPr>
              <w:spacing w:before="80" w:after="80"/>
              <w:jc w:val="center"/>
              <w:outlineLvl w:val="1"/>
              <w:rPr>
                <w:rFonts w:ascii="Times New Roman" w:eastAsia="Calibri" w:hAnsi="Times New Roman"/>
                <w:b/>
                <w:sz w:val="20"/>
                <w:lang w:eastAsia="x-none"/>
              </w:rPr>
            </w:pPr>
            <w:r w:rsidRPr="000207A6">
              <w:rPr>
                <w:rFonts w:ascii="Times New Roman" w:eastAsia="Calibri" w:hAnsi="Times New Roman"/>
                <w:b/>
                <w:sz w:val="20"/>
                <w:lang w:eastAsia="x-none"/>
              </w:rPr>
              <w:t>Y2</w:t>
            </w:r>
          </w:p>
        </w:tc>
        <w:tc>
          <w:tcPr>
            <w:tcW w:w="900" w:type="dxa"/>
            <w:tcBorders>
              <w:bottom w:val="single" w:sz="4" w:space="0" w:color="auto"/>
            </w:tcBorders>
            <w:shd w:val="clear" w:color="auto" w:fill="D9D9D9" w:themeFill="background1" w:themeFillShade="D9"/>
          </w:tcPr>
          <w:p w:rsidR="00B97526" w:rsidRPr="000207A6" w:rsidRDefault="00B97526" w:rsidP="00B97526">
            <w:pPr>
              <w:spacing w:before="80" w:after="80"/>
              <w:jc w:val="center"/>
              <w:outlineLvl w:val="1"/>
              <w:rPr>
                <w:rFonts w:ascii="Times New Roman" w:eastAsia="Calibri" w:hAnsi="Times New Roman"/>
                <w:b/>
                <w:sz w:val="20"/>
                <w:lang w:eastAsia="x-none"/>
              </w:rPr>
            </w:pPr>
            <w:r w:rsidRPr="000207A6">
              <w:rPr>
                <w:rFonts w:ascii="Times New Roman" w:eastAsia="Calibri" w:hAnsi="Times New Roman"/>
                <w:b/>
                <w:sz w:val="20"/>
                <w:lang w:eastAsia="x-none"/>
              </w:rPr>
              <w:t>Y3</w:t>
            </w:r>
          </w:p>
        </w:tc>
        <w:tc>
          <w:tcPr>
            <w:tcW w:w="900" w:type="dxa"/>
            <w:tcBorders>
              <w:bottom w:val="single" w:sz="4" w:space="0" w:color="auto"/>
            </w:tcBorders>
            <w:shd w:val="clear" w:color="auto" w:fill="D9D9D9" w:themeFill="background1" w:themeFillShade="D9"/>
          </w:tcPr>
          <w:p w:rsidR="00B97526" w:rsidRPr="000207A6" w:rsidRDefault="00B97526" w:rsidP="00B97526">
            <w:pPr>
              <w:spacing w:before="80" w:after="80"/>
              <w:jc w:val="center"/>
              <w:outlineLvl w:val="1"/>
              <w:rPr>
                <w:rFonts w:ascii="Times New Roman" w:eastAsia="Calibri" w:hAnsi="Times New Roman"/>
                <w:b/>
                <w:sz w:val="20"/>
                <w:lang w:eastAsia="x-none"/>
              </w:rPr>
            </w:pPr>
            <w:r w:rsidRPr="000207A6">
              <w:rPr>
                <w:rFonts w:ascii="Times New Roman" w:eastAsia="Calibri" w:hAnsi="Times New Roman"/>
                <w:b/>
                <w:sz w:val="20"/>
                <w:lang w:eastAsia="x-none"/>
              </w:rPr>
              <w:t>Y4</w:t>
            </w:r>
          </w:p>
        </w:tc>
        <w:tc>
          <w:tcPr>
            <w:tcW w:w="810" w:type="dxa"/>
            <w:tcBorders>
              <w:bottom w:val="single" w:sz="4" w:space="0" w:color="auto"/>
            </w:tcBorders>
            <w:shd w:val="clear" w:color="auto" w:fill="D9D9D9" w:themeFill="background1" w:themeFillShade="D9"/>
          </w:tcPr>
          <w:p w:rsidR="00B97526" w:rsidRPr="000207A6" w:rsidRDefault="00B97526" w:rsidP="00B97526">
            <w:pPr>
              <w:spacing w:before="80" w:after="80"/>
              <w:jc w:val="center"/>
              <w:outlineLvl w:val="1"/>
              <w:rPr>
                <w:rFonts w:ascii="Times New Roman" w:eastAsia="Calibri" w:hAnsi="Times New Roman"/>
                <w:b/>
                <w:sz w:val="20"/>
                <w:lang w:eastAsia="x-none"/>
              </w:rPr>
            </w:pPr>
            <w:r w:rsidRPr="000207A6">
              <w:rPr>
                <w:rFonts w:ascii="Times New Roman" w:eastAsia="Calibri" w:hAnsi="Times New Roman"/>
                <w:b/>
                <w:sz w:val="20"/>
                <w:lang w:eastAsia="x-none"/>
              </w:rPr>
              <w:t>Y5</w:t>
            </w:r>
          </w:p>
        </w:tc>
        <w:tc>
          <w:tcPr>
            <w:tcW w:w="810" w:type="dxa"/>
            <w:tcBorders>
              <w:bottom w:val="single" w:sz="4" w:space="0" w:color="auto"/>
            </w:tcBorders>
            <w:shd w:val="clear" w:color="auto" w:fill="D9D9D9" w:themeFill="background1" w:themeFillShade="D9"/>
          </w:tcPr>
          <w:p w:rsidR="00B97526" w:rsidRPr="000207A6" w:rsidRDefault="00B97526" w:rsidP="00B97526">
            <w:pPr>
              <w:spacing w:before="80" w:after="80"/>
              <w:jc w:val="center"/>
              <w:outlineLvl w:val="1"/>
              <w:rPr>
                <w:rFonts w:ascii="Times New Roman" w:eastAsia="Calibri" w:hAnsi="Times New Roman"/>
                <w:b/>
                <w:sz w:val="20"/>
                <w:lang w:eastAsia="x-none"/>
              </w:rPr>
            </w:pPr>
            <w:r w:rsidRPr="000207A6">
              <w:rPr>
                <w:rFonts w:ascii="Times New Roman" w:eastAsia="Calibri" w:hAnsi="Times New Roman"/>
                <w:b/>
                <w:sz w:val="20"/>
                <w:lang w:eastAsia="x-none"/>
              </w:rPr>
              <w:t>Y6</w:t>
            </w:r>
          </w:p>
        </w:tc>
        <w:tc>
          <w:tcPr>
            <w:tcW w:w="810" w:type="dxa"/>
            <w:tcBorders>
              <w:bottom w:val="single" w:sz="4" w:space="0" w:color="auto"/>
            </w:tcBorders>
            <w:shd w:val="clear" w:color="auto" w:fill="D9D9D9" w:themeFill="background1" w:themeFillShade="D9"/>
          </w:tcPr>
          <w:p w:rsidR="00B97526" w:rsidRPr="000207A6" w:rsidRDefault="00B97526" w:rsidP="00B97526">
            <w:pPr>
              <w:spacing w:before="80" w:after="80"/>
              <w:jc w:val="center"/>
              <w:outlineLvl w:val="1"/>
              <w:rPr>
                <w:rFonts w:ascii="Times New Roman" w:eastAsiaTheme="minorHAnsi" w:hAnsi="Times New Roman"/>
                <w:b/>
                <w:sz w:val="20"/>
                <w:lang w:eastAsia="x-none"/>
              </w:rPr>
            </w:pPr>
            <w:r w:rsidRPr="000207A6">
              <w:rPr>
                <w:rFonts w:ascii="Times New Roman" w:eastAsia="Calibri" w:hAnsi="Times New Roman"/>
                <w:b/>
                <w:sz w:val="20"/>
                <w:lang w:eastAsia="x-none"/>
              </w:rPr>
              <w:t>Total</w:t>
            </w:r>
          </w:p>
        </w:tc>
      </w:tr>
      <w:tr w:rsidR="00B97526" w:rsidRPr="000207A6" w:rsidTr="006A2F52">
        <w:trPr>
          <w:trHeight w:val="197"/>
        </w:trPr>
        <w:tc>
          <w:tcPr>
            <w:tcW w:w="2898" w:type="dxa"/>
            <w:tcBorders>
              <w:right w:val="nil"/>
            </w:tcBorders>
          </w:tcPr>
          <w:p w:rsidR="00B97526" w:rsidRPr="000207A6" w:rsidRDefault="00B97526" w:rsidP="00B97526">
            <w:pPr>
              <w:spacing w:before="80" w:after="80"/>
              <w:outlineLvl w:val="1"/>
              <w:rPr>
                <w:rFonts w:ascii="Times New Roman" w:eastAsiaTheme="minorHAnsi" w:hAnsi="Times New Roman"/>
                <w:sz w:val="20"/>
                <w:lang w:val="x-none" w:eastAsia="x-none"/>
              </w:rPr>
            </w:pPr>
            <w:r w:rsidRPr="000207A6">
              <w:rPr>
                <w:rFonts w:ascii="Times New Roman" w:eastAsia="Calibri" w:hAnsi="Times New Roman"/>
                <w:b/>
                <w:sz w:val="20"/>
                <w:lang w:eastAsia="x-none"/>
              </w:rPr>
              <w:t xml:space="preserve">Outputs </w:t>
            </w:r>
            <w:r w:rsidRPr="000207A6">
              <w:rPr>
                <w:rFonts w:ascii="Times New Roman" w:eastAsia="Calibri" w:hAnsi="Times New Roman"/>
                <w:b/>
                <w:sz w:val="20"/>
                <w:lang w:val="x-none" w:eastAsia="x-none"/>
              </w:rPr>
              <w:t>Component I.</w:t>
            </w:r>
          </w:p>
        </w:tc>
        <w:tc>
          <w:tcPr>
            <w:tcW w:w="900" w:type="dxa"/>
            <w:tcBorders>
              <w:left w:val="nil"/>
              <w:right w:val="nil"/>
            </w:tcBorders>
          </w:tcPr>
          <w:p w:rsidR="00B97526" w:rsidRPr="000207A6" w:rsidRDefault="00B97526" w:rsidP="00B97526">
            <w:pPr>
              <w:spacing w:before="80" w:after="80"/>
              <w:jc w:val="both"/>
              <w:outlineLvl w:val="1"/>
              <w:rPr>
                <w:rFonts w:ascii="Times New Roman" w:eastAsiaTheme="minorHAnsi" w:hAnsi="Times New Roman"/>
                <w:sz w:val="20"/>
                <w:lang w:val="x-none" w:eastAsia="x-none"/>
              </w:rPr>
            </w:pPr>
          </w:p>
        </w:tc>
        <w:tc>
          <w:tcPr>
            <w:tcW w:w="900" w:type="dxa"/>
            <w:tcBorders>
              <w:left w:val="nil"/>
              <w:right w:val="nil"/>
            </w:tcBorders>
          </w:tcPr>
          <w:p w:rsidR="00B97526" w:rsidRPr="000207A6" w:rsidRDefault="00B97526" w:rsidP="00B97526">
            <w:pPr>
              <w:spacing w:before="80" w:after="80"/>
              <w:jc w:val="both"/>
              <w:outlineLvl w:val="1"/>
              <w:rPr>
                <w:rFonts w:ascii="Times New Roman" w:eastAsiaTheme="minorHAnsi" w:hAnsi="Times New Roman"/>
                <w:sz w:val="20"/>
                <w:lang w:val="x-none" w:eastAsia="x-none"/>
              </w:rPr>
            </w:pPr>
          </w:p>
        </w:tc>
        <w:tc>
          <w:tcPr>
            <w:tcW w:w="900" w:type="dxa"/>
            <w:tcBorders>
              <w:left w:val="nil"/>
              <w:right w:val="nil"/>
            </w:tcBorders>
          </w:tcPr>
          <w:p w:rsidR="00B97526" w:rsidRPr="000207A6" w:rsidRDefault="00B97526" w:rsidP="00B97526">
            <w:pPr>
              <w:spacing w:before="80" w:after="80"/>
              <w:jc w:val="both"/>
              <w:outlineLvl w:val="1"/>
              <w:rPr>
                <w:rFonts w:ascii="Times New Roman" w:eastAsiaTheme="minorHAnsi" w:hAnsi="Times New Roman"/>
                <w:sz w:val="20"/>
                <w:lang w:val="x-none" w:eastAsia="x-none"/>
              </w:rPr>
            </w:pPr>
          </w:p>
        </w:tc>
        <w:tc>
          <w:tcPr>
            <w:tcW w:w="900" w:type="dxa"/>
            <w:tcBorders>
              <w:left w:val="nil"/>
              <w:right w:val="nil"/>
            </w:tcBorders>
          </w:tcPr>
          <w:p w:rsidR="00B97526" w:rsidRPr="000207A6" w:rsidRDefault="00B97526" w:rsidP="00B97526">
            <w:pPr>
              <w:spacing w:before="80" w:after="80"/>
              <w:jc w:val="both"/>
              <w:outlineLvl w:val="1"/>
              <w:rPr>
                <w:rFonts w:ascii="Times New Roman" w:eastAsiaTheme="minorHAnsi" w:hAnsi="Times New Roman"/>
                <w:sz w:val="20"/>
                <w:lang w:val="x-none" w:eastAsia="x-none"/>
              </w:rPr>
            </w:pPr>
          </w:p>
        </w:tc>
        <w:tc>
          <w:tcPr>
            <w:tcW w:w="810" w:type="dxa"/>
            <w:tcBorders>
              <w:left w:val="nil"/>
              <w:right w:val="nil"/>
            </w:tcBorders>
          </w:tcPr>
          <w:p w:rsidR="00B97526" w:rsidRPr="000207A6" w:rsidRDefault="00B97526" w:rsidP="00B97526">
            <w:pPr>
              <w:spacing w:before="80" w:after="80"/>
              <w:jc w:val="both"/>
              <w:outlineLvl w:val="1"/>
              <w:rPr>
                <w:rFonts w:ascii="Times New Roman" w:eastAsiaTheme="minorHAnsi" w:hAnsi="Times New Roman"/>
                <w:sz w:val="20"/>
                <w:lang w:val="x-none" w:eastAsia="x-none"/>
              </w:rPr>
            </w:pPr>
          </w:p>
        </w:tc>
        <w:tc>
          <w:tcPr>
            <w:tcW w:w="810" w:type="dxa"/>
            <w:tcBorders>
              <w:left w:val="nil"/>
              <w:right w:val="nil"/>
            </w:tcBorders>
          </w:tcPr>
          <w:p w:rsidR="00B97526" w:rsidRPr="000207A6" w:rsidRDefault="00B97526" w:rsidP="00B97526">
            <w:pPr>
              <w:spacing w:before="80" w:after="80"/>
              <w:jc w:val="both"/>
              <w:outlineLvl w:val="1"/>
              <w:rPr>
                <w:rFonts w:ascii="Times New Roman" w:eastAsiaTheme="minorHAnsi" w:hAnsi="Times New Roman"/>
                <w:sz w:val="20"/>
                <w:lang w:val="x-none" w:eastAsia="x-none"/>
              </w:rPr>
            </w:pPr>
          </w:p>
        </w:tc>
        <w:tc>
          <w:tcPr>
            <w:tcW w:w="810" w:type="dxa"/>
            <w:tcBorders>
              <w:left w:val="nil"/>
            </w:tcBorders>
          </w:tcPr>
          <w:p w:rsidR="00B97526" w:rsidRPr="000207A6" w:rsidRDefault="00B97526" w:rsidP="00B97526">
            <w:pPr>
              <w:spacing w:before="80" w:after="80"/>
              <w:jc w:val="both"/>
              <w:outlineLvl w:val="1"/>
              <w:rPr>
                <w:rFonts w:ascii="Times New Roman" w:eastAsiaTheme="minorHAnsi" w:hAnsi="Times New Roman"/>
                <w:sz w:val="20"/>
                <w:lang w:val="x-none" w:eastAsia="x-none"/>
              </w:rPr>
            </w:pPr>
          </w:p>
        </w:tc>
      </w:tr>
      <w:tr w:rsidR="00B97526" w:rsidRPr="000207A6" w:rsidTr="006A2F52">
        <w:trPr>
          <w:trHeight w:val="512"/>
        </w:trPr>
        <w:tc>
          <w:tcPr>
            <w:tcW w:w="2898" w:type="dxa"/>
          </w:tcPr>
          <w:p w:rsidR="00B97526" w:rsidRPr="000207A6" w:rsidRDefault="00B97526" w:rsidP="00B97526">
            <w:pPr>
              <w:spacing w:before="80" w:after="80"/>
              <w:jc w:val="both"/>
              <w:outlineLvl w:val="1"/>
              <w:rPr>
                <w:rFonts w:ascii="Times New Roman" w:eastAsia="Calibri" w:hAnsi="Times New Roman"/>
                <w:sz w:val="20"/>
                <w:lang w:eastAsia="x-none"/>
              </w:rPr>
            </w:pPr>
            <w:r w:rsidRPr="000207A6">
              <w:rPr>
                <w:rFonts w:ascii="Times New Roman" w:eastAsia="Calibri" w:hAnsi="Times New Roman"/>
                <w:sz w:val="20"/>
                <w:lang w:val="x-none" w:eastAsia="x-none"/>
              </w:rPr>
              <w:t>Grants (in the form of loan guarantees) provided to geothermal projects with resources from the program</w:t>
            </w:r>
          </w:p>
        </w:tc>
        <w:tc>
          <w:tcPr>
            <w:tcW w:w="900" w:type="dxa"/>
            <w:vAlign w:val="center"/>
          </w:tcPr>
          <w:p w:rsidR="00B97526" w:rsidRPr="000207A6" w:rsidRDefault="00B97526" w:rsidP="00B97526">
            <w:pPr>
              <w:spacing w:before="80" w:after="80"/>
              <w:jc w:val="center"/>
              <w:outlineLvl w:val="1"/>
              <w:rPr>
                <w:rFonts w:ascii="Times New Roman" w:eastAsia="Calibri" w:hAnsi="Times New Roman"/>
                <w:sz w:val="20"/>
                <w:lang w:eastAsia="x-none"/>
              </w:rPr>
            </w:pPr>
            <w:r w:rsidRPr="000207A6">
              <w:rPr>
                <w:rFonts w:ascii="Times New Roman" w:eastAsia="Calibri" w:hAnsi="Times New Roman"/>
                <w:sz w:val="20"/>
                <w:lang w:eastAsia="x-none"/>
              </w:rPr>
              <w:t>4</w:t>
            </w:r>
          </w:p>
        </w:tc>
        <w:tc>
          <w:tcPr>
            <w:tcW w:w="900" w:type="dxa"/>
            <w:vAlign w:val="center"/>
          </w:tcPr>
          <w:p w:rsidR="00B97526" w:rsidRPr="000207A6" w:rsidRDefault="00B97526" w:rsidP="00B97526">
            <w:pPr>
              <w:spacing w:before="80" w:after="80"/>
              <w:jc w:val="center"/>
              <w:outlineLvl w:val="1"/>
              <w:rPr>
                <w:rFonts w:ascii="Times New Roman" w:eastAsia="Calibri" w:hAnsi="Times New Roman"/>
                <w:sz w:val="20"/>
                <w:lang w:eastAsia="x-none"/>
              </w:rPr>
            </w:pPr>
            <w:r w:rsidRPr="000207A6">
              <w:rPr>
                <w:rFonts w:ascii="Times New Roman" w:eastAsia="Calibri" w:hAnsi="Times New Roman"/>
                <w:sz w:val="20"/>
                <w:lang w:eastAsia="x-none"/>
              </w:rPr>
              <w:t>6</w:t>
            </w:r>
          </w:p>
        </w:tc>
        <w:tc>
          <w:tcPr>
            <w:tcW w:w="900" w:type="dxa"/>
            <w:vAlign w:val="center"/>
          </w:tcPr>
          <w:p w:rsidR="00B97526" w:rsidRPr="000207A6" w:rsidRDefault="00B97526" w:rsidP="00B97526">
            <w:pPr>
              <w:spacing w:before="80" w:after="80"/>
              <w:jc w:val="center"/>
              <w:outlineLvl w:val="1"/>
              <w:rPr>
                <w:rFonts w:ascii="Times New Roman" w:eastAsia="Calibri" w:hAnsi="Times New Roman"/>
                <w:sz w:val="20"/>
                <w:lang w:eastAsia="x-none"/>
              </w:rPr>
            </w:pPr>
            <w:r w:rsidRPr="000207A6">
              <w:rPr>
                <w:rFonts w:ascii="Times New Roman" w:eastAsia="Calibri" w:hAnsi="Times New Roman"/>
                <w:sz w:val="20"/>
                <w:lang w:eastAsia="x-none"/>
              </w:rPr>
              <w:t>4</w:t>
            </w:r>
          </w:p>
        </w:tc>
        <w:tc>
          <w:tcPr>
            <w:tcW w:w="900" w:type="dxa"/>
            <w:vAlign w:val="center"/>
          </w:tcPr>
          <w:p w:rsidR="00B97526" w:rsidRPr="000207A6" w:rsidRDefault="00B97526" w:rsidP="00B97526">
            <w:pPr>
              <w:spacing w:before="80" w:after="80"/>
              <w:jc w:val="center"/>
              <w:outlineLvl w:val="1"/>
              <w:rPr>
                <w:rFonts w:ascii="Times New Roman" w:eastAsia="Calibri" w:hAnsi="Times New Roman"/>
                <w:sz w:val="20"/>
                <w:lang w:eastAsia="x-none"/>
              </w:rPr>
            </w:pPr>
            <w:r w:rsidRPr="000207A6">
              <w:rPr>
                <w:rFonts w:ascii="Times New Roman" w:eastAsia="Calibri" w:hAnsi="Times New Roman"/>
                <w:sz w:val="20"/>
                <w:lang w:eastAsia="x-none"/>
              </w:rPr>
              <w:t>2</w:t>
            </w:r>
          </w:p>
        </w:tc>
        <w:tc>
          <w:tcPr>
            <w:tcW w:w="810" w:type="dxa"/>
            <w:vAlign w:val="center"/>
          </w:tcPr>
          <w:p w:rsidR="00B97526" w:rsidRPr="000207A6" w:rsidRDefault="00B97526" w:rsidP="00B97526">
            <w:pPr>
              <w:spacing w:before="80" w:after="80"/>
              <w:jc w:val="center"/>
              <w:outlineLvl w:val="1"/>
              <w:rPr>
                <w:rFonts w:ascii="Times New Roman" w:eastAsia="Calibri" w:hAnsi="Times New Roman"/>
                <w:sz w:val="20"/>
                <w:lang w:eastAsia="x-none"/>
              </w:rPr>
            </w:pPr>
            <w:r w:rsidRPr="000207A6">
              <w:rPr>
                <w:rFonts w:ascii="Times New Roman" w:eastAsia="Calibri" w:hAnsi="Times New Roman"/>
                <w:sz w:val="20"/>
                <w:lang w:eastAsia="x-none"/>
              </w:rPr>
              <w:t>2</w:t>
            </w:r>
          </w:p>
        </w:tc>
        <w:tc>
          <w:tcPr>
            <w:tcW w:w="810" w:type="dxa"/>
            <w:vAlign w:val="center"/>
          </w:tcPr>
          <w:p w:rsidR="00B97526" w:rsidRPr="000207A6" w:rsidRDefault="00B97526" w:rsidP="00B97526">
            <w:pPr>
              <w:spacing w:before="80" w:after="80"/>
              <w:jc w:val="center"/>
              <w:outlineLvl w:val="1"/>
              <w:rPr>
                <w:rFonts w:ascii="Times New Roman" w:eastAsia="Calibri" w:hAnsi="Times New Roman"/>
                <w:sz w:val="20"/>
                <w:lang w:eastAsia="x-none"/>
              </w:rPr>
            </w:pPr>
            <w:r w:rsidRPr="000207A6">
              <w:rPr>
                <w:rFonts w:ascii="Times New Roman" w:eastAsia="Calibri" w:hAnsi="Times New Roman"/>
                <w:sz w:val="20"/>
                <w:lang w:eastAsia="x-none"/>
              </w:rPr>
              <w:t>2</w:t>
            </w:r>
          </w:p>
        </w:tc>
        <w:tc>
          <w:tcPr>
            <w:tcW w:w="810" w:type="dxa"/>
            <w:vAlign w:val="center"/>
          </w:tcPr>
          <w:p w:rsidR="00B97526" w:rsidRPr="000207A6" w:rsidRDefault="00B97526" w:rsidP="00B97526">
            <w:pPr>
              <w:spacing w:before="80" w:after="80"/>
              <w:jc w:val="right"/>
              <w:outlineLvl w:val="1"/>
              <w:rPr>
                <w:rFonts w:ascii="Times New Roman" w:eastAsia="Calibri" w:hAnsi="Times New Roman"/>
                <w:sz w:val="20"/>
                <w:lang w:eastAsia="x-none"/>
              </w:rPr>
            </w:pPr>
            <w:r w:rsidRPr="000207A6">
              <w:rPr>
                <w:rFonts w:ascii="Times New Roman" w:eastAsia="Calibri" w:hAnsi="Times New Roman"/>
                <w:sz w:val="20"/>
                <w:lang w:eastAsia="x-none"/>
              </w:rPr>
              <w:t>20.0</w:t>
            </w:r>
          </w:p>
        </w:tc>
      </w:tr>
      <w:tr w:rsidR="00B97526" w:rsidRPr="000207A6" w:rsidTr="006A2F52">
        <w:trPr>
          <w:trHeight w:val="332"/>
        </w:trPr>
        <w:tc>
          <w:tcPr>
            <w:tcW w:w="2898" w:type="dxa"/>
            <w:tcBorders>
              <w:bottom w:val="single" w:sz="4" w:space="0" w:color="auto"/>
            </w:tcBorders>
          </w:tcPr>
          <w:p w:rsidR="00B97526" w:rsidRPr="000207A6" w:rsidRDefault="00B97526" w:rsidP="00B97526">
            <w:pPr>
              <w:spacing w:before="80" w:after="80"/>
              <w:outlineLvl w:val="1"/>
              <w:rPr>
                <w:rFonts w:ascii="Times New Roman" w:eastAsia="Calibri" w:hAnsi="Times New Roman"/>
                <w:sz w:val="20"/>
                <w:lang w:eastAsia="x-none"/>
              </w:rPr>
            </w:pPr>
            <w:r w:rsidRPr="000207A6">
              <w:rPr>
                <w:rFonts w:ascii="Times New Roman" w:eastAsia="Calibri" w:hAnsi="Times New Roman"/>
                <w:sz w:val="20"/>
                <w:lang w:val="x-none" w:eastAsia="x-none"/>
              </w:rPr>
              <w:t>Insurance premiums  for geothermal projects subsidized with resources from the program</w:t>
            </w:r>
          </w:p>
        </w:tc>
        <w:tc>
          <w:tcPr>
            <w:tcW w:w="900" w:type="dxa"/>
            <w:tcBorders>
              <w:bottom w:val="single" w:sz="4" w:space="0" w:color="auto"/>
            </w:tcBorders>
            <w:vAlign w:val="center"/>
          </w:tcPr>
          <w:p w:rsidR="00B97526" w:rsidRPr="000207A6" w:rsidRDefault="00B97526" w:rsidP="00B97526">
            <w:pPr>
              <w:spacing w:before="80" w:after="80"/>
              <w:jc w:val="center"/>
              <w:outlineLvl w:val="1"/>
              <w:rPr>
                <w:rFonts w:ascii="Times New Roman" w:eastAsia="Calibri" w:hAnsi="Times New Roman"/>
                <w:sz w:val="20"/>
                <w:lang w:eastAsia="x-none"/>
              </w:rPr>
            </w:pPr>
            <w:r w:rsidRPr="000207A6">
              <w:rPr>
                <w:rFonts w:ascii="Times New Roman" w:eastAsia="Calibri" w:hAnsi="Times New Roman"/>
                <w:sz w:val="20"/>
                <w:lang w:eastAsia="x-none"/>
              </w:rPr>
              <w:t>0</w:t>
            </w:r>
          </w:p>
        </w:tc>
        <w:tc>
          <w:tcPr>
            <w:tcW w:w="900" w:type="dxa"/>
            <w:tcBorders>
              <w:bottom w:val="single" w:sz="4" w:space="0" w:color="auto"/>
            </w:tcBorders>
            <w:vAlign w:val="center"/>
          </w:tcPr>
          <w:p w:rsidR="00B97526" w:rsidRPr="000207A6" w:rsidRDefault="00B97526" w:rsidP="00B97526">
            <w:pPr>
              <w:spacing w:before="80" w:after="80"/>
              <w:jc w:val="center"/>
              <w:outlineLvl w:val="1"/>
              <w:rPr>
                <w:rFonts w:ascii="Times New Roman" w:eastAsia="Calibri" w:hAnsi="Times New Roman"/>
                <w:sz w:val="20"/>
                <w:lang w:eastAsia="x-none"/>
              </w:rPr>
            </w:pPr>
            <w:r w:rsidRPr="000207A6">
              <w:rPr>
                <w:rFonts w:ascii="Times New Roman" w:eastAsia="Calibri" w:hAnsi="Times New Roman"/>
                <w:sz w:val="20"/>
                <w:lang w:eastAsia="x-none"/>
              </w:rPr>
              <w:t>2.3</w:t>
            </w:r>
          </w:p>
        </w:tc>
        <w:tc>
          <w:tcPr>
            <w:tcW w:w="900" w:type="dxa"/>
            <w:tcBorders>
              <w:bottom w:val="single" w:sz="4" w:space="0" w:color="auto"/>
            </w:tcBorders>
            <w:vAlign w:val="center"/>
          </w:tcPr>
          <w:p w:rsidR="00B97526" w:rsidRPr="000207A6" w:rsidRDefault="00B97526" w:rsidP="00B97526">
            <w:pPr>
              <w:spacing w:before="80" w:after="80"/>
              <w:jc w:val="center"/>
              <w:outlineLvl w:val="1"/>
              <w:rPr>
                <w:rFonts w:ascii="Times New Roman" w:eastAsia="Calibri" w:hAnsi="Times New Roman"/>
                <w:sz w:val="20"/>
                <w:lang w:eastAsia="x-none"/>
              </w:rPr>
            </w:pPr>
            <w:r w:rsidRPr="000207A6">
              <w:rPr>
                <w:rFonts w:ascii="Times New Roman" w:eastAsia="Calibri" w:hAnsi="Times New Roman"/>
                <w:sz w:val="20"/>
                <w:lang w:eastAsia="x-none"/>
              </w:rPr>
              <w:t>2.3</w:t>
            </w:r>
          </w:p>
        </w:tc>
        <w:tc>
          <w:tcPr>
            <w:tcW w:w="900" w:type="dxa"/>
            <w:tcBorders>
              <w:bottom w:val="single" w:sz="4" w:space="0" w:color="auto"/>
            </w:tcBorders>
            <w:vAlign w:val="center"/>
          </w:tcPr>
          <w:p w:rsidR="00B97526" w:rsidRPr="000207A6" w:rsidRDefault="00B97526" w:rsidP="00B97526">
            <w:pPr>
              <w:spacing w:before="80" w:after="80"/>
              <w:jc w:val="center"/>
              <w:outlineLvl w:val="1"/>
              <w:rPr>
                <w:rFonts w:ascii="Times New Roman" w:eastAsia="Calibri" w:hAnsi="Times New Roman"/>
                <w:sz w:val="20"/>
                <w:lang w:eastAsia="x-none"/>
              </w:rPr>
            </w:pPr>
            <w:r w:rsidRPr="000207A6">
              <w:rPr>
                <w:rFonts w:ascii="Times New Roman" w:eastAsia="Calibri" w:hAnsi="Times New Roman"/>
                <w:sz w:val="20"/>
                <w:lang w:eastAsia="x-none"/>
              </w:rPr>
              <w:t>4.6</w:t>
            </w:r>
          </w:p>
        </w:tc>
        <w:tc>
          <w:tcPr>
            <w:tcW w:w="810" w:type="dxa"/>
            <w:tcBorders>
              <w:bottom w:val="single" w:sz="4" w:space="0" w:color="auto"/>
            </w:tcBorders>
            <w:vAlign w:val="center"/>
          </w:tcPr>
          <w:p w:rsidR="00B97526" w:rsidRPr="000207A6" w:rsidRDefault="00B97526" w:rsidP="00B97526">
            <w:pPr>
              <w:spacing w:before="80" w:after="80"/>
              <w:jc w:val="center"/>
              <w:outlineLvl w:val="1"/>
              <w:rPr>
                <w:rFonts w:ascii="Times New Roman" w:eastAsia="Calibri" w:hAnsi="Times New Roman"/>
                <w:sz w:val="20"/>
                <w:lang w:eastAsia="x-none"/>
              </w:rPr>
            </w:pPr>
            <w:r w:rsidRPr="000207A6">
              <w:rPr>
                <w:rFonts w:ascii="Times New Roman" w:eastAsia="Calibri" w:hAnsi="Times New Roman"/>
                <w:sz w:val="20"/>
                <w:lang w:eastAsia="x-none"/>
              </w:rPr>
              <w:t>0</w:t>
            </w:r>
          </w:p>
        </w:tc>
        <w:tc>
          <w:tcPr>
            <w:tcW w:w="810" w:type="dxa"/>
            <w:tcBorders>
              <w:bottom w:val="single" w:sz="4" w:space="0" w:color="auto"/>
            </w:tcBorders>
            <w:vAlign w:val="center"/>
          </w:tcPr>
          <w:p w:rsidR="00B97526" w:rsidRPr="000207A6" w:rsidRDefault="00B97526" w:rsidP="00B97526">
            <w:pPr>
              <w:spacing w:before="80" w:after="80"/>
              <w:jc w:val="center"/>
              <w:outlineLvl w:val="1"/>
              <w:rPr>
                <w:rFonts w:ascii="Times New Roman" w:eastAsia="Calibri" w:hAnsi="Times New Roman"/>
                <w:sz w:val="20"/>
                <w:lang w:eastAsia="x-none"/>
              </w:rPr>
            </w:pPr>
            <w:r w:rsidRPr="000207A6">
              <w:rPr>
                <w:rFonts w:ascii="Times New Roman" w:eastAsia="Calibri" w:hAnsi="Times New Roman"/>
                <w:sz w:val="20"/>
                <w:lang w:eastAsia="x-none"/>
              </w:rPr>
              <w:t>2.3</w:t>
            </w:r>
          </w:p>
        </w:tc>
        <w:tc>
          <w:tcPr>
            <w:tcW w:w="810" w:type="dxa"/>
            <w:tcBorders>
              <w:bottom w:val="single" w:sz="4" w:space="0" w:color="auto"/>
            </w:tcBorders>
            <w:vAlign w:val="center"/>
          </w:tcPr>
          <w:p w:rsidR="00B97526" w:rsidRPr="000207A6" w:rsidRDefault="00B97526" w:rsidP="00B97526">
            <w:pPr>
              <w:spacing w:before="80" w:after="80"/>
              <w:jc w:val="right"/>
              <w:outlineLvl w:val="1"/>
              <w:rPr>
                <w:rFonts w:ascii="Times New Roman" w:eastAsia="Calibri" w:hAnsi="Times New Roman"/>
                <w:sz w:val="20"/>
                <w:lang w:eastAsia="x-none"/>
              </w:rPr>
            </w:pPr>
            <w:r w:rsidRPr="000207A6">
              <w:rPr>
                <w:rFonts w:ascii="Times New Roman" w:eastAsia="Calibri" w:hAnsi="Times New Roman"/>
                <w:sz w:val="20"/>
                <w:lang w:eastAsia="x-none"/>
              </w:rPr>
              <w:t>11.50</w:t>
            </w:r>
          </w:p>
        </w:tc>
      </w:tr>
      <w:tr w:rsidR="00B97526" w:rsidRPr="000207A6" w:rsidTr="006A2F52">
        <w:trPr>
          <w:trHeight w:val="233"/>
        </w:trPr>
        <w:tc>
          <w:tcPr>
            <w:tcW w:w="2898" w:type="dxa"/>
            <w:tcBorders>
              <w:right w:val="nil"/>
            </w:tcBorders>
          </w:tcPr>
          <w:p w:rsidR="00B97526" w:rsidRPr="000207A6" w:rsidRDefault="00B97526" w:rsidP="00B97526">
            <w:pPr>
              <w:spacing w:before="80" w:after="80"/>
              <w:outlineLvl w:val="1"/>
              <w:rPr>
                <w:rFonts w:ascii="Times New Roman" w:eastAsiaTheme="minorHAnsi" w:hAnsi="Times New Roman"/>
                <w:sz w:val="20"/>
                <w:lang w:val="x-none" w:eastAsia="x-none"/>
              </w:rPr>
            </w:pPr>
            <w:r w:rsidRPr="000207A6">
              <w:rPr>
                <w:rFonts w:ascii="Times New Roman" w:eastAsia="Calibri" w:hAnsi="Times New Roman"/>
                <w:b/>
                <w:sz w:val="20"/>
                <w:lang w:eastAsia="x-none"/>
              </w:rPr>
              <w:t xml:space="preserve">Output </w:t>
            </w:r>
            <w:r w:rsidRPr="000207A6">
              <w:rPr>
                <w:rFonts w:ascii="Times New Roman" w:eastAsia="Calibri" w:hAnsi="Times New Roman"/>
                <w:b/>
                <w:sz w:val="20"/>
                <w:lang w:val="x-none" w:eastAsia="x-none"/>
              </w:rPr>
              <w:t>Component II.</w:t>
            </w:r>
          </w:p>
        </w:tc>
        <w:tc>
          <w:tcPr>
            <w:tcW w:w="900" w:type="dxa"/>
            <w:tcBorders>
              <w:left w:val="nil"/>
              <w:right w:val="nil"/>
            </w:tcBorders>
          </w:tcPr>
          <w:p w:rsidR="00B97526" w:rsidRPr="000207A6" w:rsidRDefault="00B97526" w:rsidP="00B97526">
            <w:pPr>
              <w:spacing w:before="80" w:after="80"/>
              <w:jc w:val="right"/>
              <w:outlineLvl w:val="1"/>
              <w:rPr>
                <w:rFonts w:ascii="Times New Roman" w:eastAsiaTheme="minorHAnsi" w:hAnsi="Times New Roman"/>
                <w:sz w:val="20"/>
                <w:lang w:val="x-none" w:eastAsia="x-none"/>
              </w:rPr>
            </w:pPr>
          </w:p>
        </w:tc>
        <w:tc>
          <w:tcPr>
            <w:tcW w:w="900" w:type="dxa"/>
            <w:tcBorders>
              <w:left w:val="nil"/>
              <w:right w:val="nil"/>
            </w:tcBorders>
          </w:tcPr>
          <w:p w:rsidR="00B97526" w:rsidRPr="000207A6" w:rsidRDefault="00B97526" w:rsidP="00B97526">
            <w:pPr>
              <w:spacing w:before="80" w:after="80"/>
              <w:jc w:val="right"/>
              <w:outlineLvl w:val="1"/>
              <w:rPr>
                <w:rFonts w:ascii="Times New Roman" w:eastAsiaTheme="minorHAnsi" w:hAnsi="Times New Roman"/>
                <w:sz w:val="20"/>
                <w:lang w:val="x-none" w:eastAsia="x-none"/>
              </w:rPr>
            </w:pPr>
          </w:p>
        </w:tc>
        <w:tc>
          <w:tcPr>
            <w:tcW w:w="900" w:type="dxa"/>
            <w:tcBorders>
              <w:left w:val="nil"/>
              <w:right w:val="nil"/>
            </w:tcBorders>
          </w:tcPr>
          <w:p w:rsidR="00B97526" w:rsidRPr="000207A6" w:rsidRDefault="00B97526" w:rsidP="00B97526">
            <w:pPr>
              <w:spacing w:before="80" w:after="80"/>
              <w:jc w:val="right"/>
              <w:outlineLvl w:val="1"/>
              <w:rPr>
                <w:rFonts w:ascii="Times New Roman" w:eastAsiaTheme="minorHAnsi" w:hAnsi="Times New Roman"/>
                <w:sz w:val="20"/>
                <w:lang w:val="x-none" w:eastAsia="x-none"/>
              </w:rPr>
            </w:pPr>
          </w:p>
        </w:tc>
        <w:tc>
          <w:tcPr>
            <w:tcW w:w="900" w:type="dxa"/>
            <w:tcBorders>
              <w:left w:val="nil"/>
              <w:right w:val="nil"/>
            </w:tcBorders>
          </w:tcPr>
          <w:p w:rsidR="00B97526" w:rsidRPr="000207A6" w:rsidRDefault="00B97526" w:rsidP="00B97526">
            <w:pPr>
              <w:spacing w:before="80" w:after="80"/>
              <w:jc w:val="right"/>
              <w:outlineLvl w:val="1"/>
              <w:rPr>
                <w:rFonts w:ascii="Times New Roman" w:eastAsiaTheme="minorHAnsi" w:hAnsi="Times New Roman"/>
                <w:sz w:val="20"/>
                <w:lang w:val="x-none" w:eastAsia="x-none"/>
              </w:rPr>
            </w:pPr>
          </w:p>
        </w:tc>
        <w:tc>
          <w:tcPr>
            <w:tcW w:w="810" w:type="dxa"/>
            <w:tcBorders>
              <w:left w:val="nil"/>
              <w:right w:val="nil"/>
            </w:tcBorders>
          </w:tcPr>
          <w:p w:rsidR="00B97526" w:rsidRPr="000207A6" w:rsidRDefault="00B97526" w:rsidP="00B97526">
            <w:pPr>
              <w:spacing w:before="80" w:after="80"/>
              <w:jc w:val="right"/>
              <w:outlineLvl w:val="1"/>
              <w:rPr>
                <w:rFonts w:ascii="Times New Roman" w:eastAsiaTheme="minorHAnsi" w:hAnsi="Times New Roman"/>
                <w:sz w:val="20"/>
                <w:lang w:val="x-none" w:eastAsia="x-none"/>
              </w:rPr>
            </w:pPr>
          </w:p>
        </w:tc>
        <w:tc>
          <w:tcPr>
            <w:tcW w:w="810" w:type="dxa"/>
            <w:tcBorders>
              <w:left w:val="nil"/>
              <w:right w:val="nil"/>
            </w:tcBorders>
          </w:tcPr>
          <w:p w:rsidR="00B97526" w:rsidRPr="000207A6" w:rsidRDefault="00B97526" w:rsidP="00B97526">
            <w:pPr>
              <w:spacing w:before="80" w:after="80"/>
              <w:jc w:val="right"/>
              <w:outlineLvl w:val="1"/>
              <w:rPr>
                <w:rFonts w:ascii="Times New Roman" w:eastAsiaTheme="minorHAnsi" w:hAnsi="Times New Roman"/>
                <w:sz w:val="20"/>
                <w:lang w:val="x-none" w:eastAsia="x-none"/>
              </w:rPr>
            </w:pPr>
          </w:p>
        </w:tc>
        <w:tc>
          <w:tcPr>
            <w:tcW w:w="810" w:type="dxa"/>
            <w:tcBorders>
              <w:left w:val="nil"/>
            </w:tcBorders>
          </w:tcPr>
          <w:p w:rsidR="00B97526" w:rsidRPr="000207A6" w:rsidRDefault="00B97526" w:rsidP="00B97526">
            <w:pPr>
              <w:spacing w:before="80" w:after="80"/>
              <w:jc w:val="right"/>
              <w:outlineLvl w:val="1"/>
              <w:rPr>
                <w:rFonts w:ascii="Times New Roman" w:eastAsiaTheme="minorHAnsi" w:hAnsi="Times New Roman"/>
                <w:sz w:val="20"/>
                <w:lang w:val="x-none" w:eastAsia="x-none"/>
              </w:rPr>
            </w:pPr>
          </w:p>
        </w:tc>
      </w:tr>
      <w:tr w:rsidR="00B97526" w:rsidRPr="000207A6" w:rsidTr="006A2F52">
        <w:trPr>
          <w:trHeight w:val="449"/>
        </w:trPr>
        <w:tc>
          <w:tcPr>
            <w:tcW w:w="2898" w:type="dxa"/>
            <w:tcBorders>
              <w:bottom w:val="single" w:sz="4" w:space="0" w:color="auto"/>
            </w:tcBorders>
          </w:tcPr>
          <w:p w:rsidR="00B97526" w:rsidRPr="000207A6" w:rsidRDefault="00B97526" w:rsidP="00B97526">
            <w:pPr>
              <w:spacing w:before="80" w:after="80"/>
              <w:outlineLvl w:val="1"/>
              <w:rPr>
                <w:rFonts w:ascii="Times New Roman" w:eastAsia="Calibri" w:hAnsi="Times New Roman"/>
                <w:b/>
                <w:sz w:val="20"/>
                <w:lang w:val="x-none" w:eastAsia="x-none"/>
              </w:rPr>
            </w:pPr>
            <w:r w:rsidRPr="000207A6">
              <w:rPr>
                <w:rFonts w:ascii="Times New Roman" w:eastAsia="Calibri" w:hAnsi="Times New Roman"/>
                <w:sz w:val="20"/>
                <w:szCs w:val="20"/>
                <w:lang w:val="x-none" w:eastAsia="x-none"/>
              </w:rPr>
              <w:t>Loans granted to geothermal projects by the program at any stage of development.</w:t>
            </w:r>
          </w:p>
        </w:tc>
        <w:tc>
          <w:tcPr>
            <w:tcW w:w="900" w:type="dxa"/>
            <w:tcBorders>
              <w:bottom w:val="single" w:sz="4" w:space="0" w:color="auto"/>
            </w:tcBorders>
            <w:vAlign w:val="center"/>
          </w:tcPr>
          <w:p w:rsidR="00B97526" w:rsidRPr="000207A6" w:rsidRDefault="00B97526" w:rsidP="00B97526">
            <w:pPr>
              <w:spacing w:before="80" w:after="80"/>
              <w:jc w:val="center"/>
              <w:outlineLvl w:val="1"/>
              <w:rPr>
                <w:rFonts w:ascii="Times New Roman" w:eastAsia="Calibri" w:hAnsi="Times New Roman"/>
                <w:sz w:val="20"/>
                <w:lang w:eastAsia="x-none"/>
              </w:rPr>
            </w:pPr>
            <w:r w:rsidRPr="000207A6">
              <w:rPr>
                <w:rFonts w:ascii="Times New Roman" w:eastAsia="Calibri" w:hAnsi="Times New Roman"/>
                <w:sz w:val="20"/>
                <w:lang w:eastAsia="x-none"/>
              </w:rPr>
              <w:t>12</w:t>
            </w:r>
          </w:p>
        </w:tc>
        <w:tc>
          <w:tcPr>
            <w:tcW w:w="900" w:type="dxa"/>
            <w:tcBorders>
              <w:bottom w:val="single" w:sz="4" w:space="0" w:color="auto"/>
            </w:tcBorders>
            <w:vAlign w:val="center"/>
          </w:tcPr>
          <w:p w:rsidR="00B97526" w:rsidRPr="000207A6" w:rsidRDefault="00B97526" w:rsidP="00B97526">
            <w:pPr>
              <w:spacing w:before="80" w:after="80"/>
              <w:jc w:val="center"/>
              <w:outlineLvl w:val="1"/>
              <w:rPr>
                <w:rFonts w:ascii="Times New Roman" w:eastAsia="Calibri" w:hAnsi="Times New Roman"/>
                <w:sz w:val="20"/>
                <w:lang w:eastAsia="x-none"/>
              </w:rPr>
            </w:pPr>
            <w:r w:rsidRPr="000207A6">
              <w:rPr>
                <w:rFonts w:ascii="Times New Roman" w:eastAsia="Calibri" w:hAnsi="Times New Roman"/>
                <w:sz w:val="20"/>
                <w:lang w:eastAsia="x-none"/>
              </w:rPr>
              <w:t>25</w:t>
            </w:r>
          </w:p>
        </w:tc>
        <w:tc>
          <w:tcPr>
            <w:tcW w:w="900" w:type="dxa"/>
            <w:tcBorders>
              <w:bottom w:val="single" w:sz="4" w:space="0" w:color="auto"/>
            </w:tcBorders>
            <w:vAlign w:val="center"/>
          </w:tcPr>
          <w:p w:rsidR="00B97526" w:rsidRPr="000207A6" w:rsidRDefault="00B97526" w:rsidP="00B97526">
            <w:pPr>
              <w:spacing w:before="80" w:after="80"/>
              <w:jc w:val="center"/>
              <w:outlineLvl w:val="1"/>
              <w:rPr>
                <w:rFonts w:ascii="Times New Roman" w:eastAsia="Calibri" w:hAnsi="Times New Roman"/>
                <w:sz w:val="20"/>
                <w:lang w:eastAsia="x-none"/>
              </w:rPr>
            </w:pPr>
            <w:r w:rsidRPr="000207A6">
              <w:rPr>
                <w:rFonts w:ascii="Times New Roman" w:eastAsia="Calibri" w:hAnsi="Times New Roman"/>
                <w:sz w:val="20"/>
                <w:lang w:eastAsia="x-none"/>
              </w:rPr>
              <w:t>25</w:t>
            </w:r>
          </w:p>
        </w:tc>
        <w:tc>
          <w:tcPr>
            <w:tcW w:w="900" w:type="dxa"/>
            <w:tcBorders>
              <w:bottom w:val="single" w:sz="4" w:space="0" w:color="auto"/>
            </w:tcBorders>
            <w:vAlign w:val="center"/>
          </w:tcPr>
          <w:p w:rsidR="00B97526" w:rsidRPr="000207A6" w:rsidRDefault="00B97526" w:rsidP="00B97526">
            <w:pPr>
              <w:spacing w:before="80" w:after="80"/>
              <w:jc w:val="center"/>
              <w:outlineLvl w:val="1"/>
              <w:rPr>
                <w:rFonts w:ascii="Times New Roman" w:eastAsia="Calibri" w:hAnsi="Times New Roman"/>
                <w:sz w:val="20"/>
                <w:lang w:eastAsia="x-none"/>
              </w:rPr>
            </w:pPr>
            <w:r w:rsidRPr="000207A6">
              <w:rPr>
                <w:rFonts w:ascii="Times New Roman" w:eastAsia="Calibri" w:hAnsi="Times New Roman"/>
                <w:sz w:val="20"/>
                <w:lang w:eastAsia="x-none"/>
              </w:rPr>
              <w:t>23.8</w:t>
            </w:r>
          </w:p>
        </w:tc>
        <w:tc>
          <w:tcPr>
            <w:tcW w:w="810" w:type="dxa"/>
            <w:tcBorders>
              <w:bottom w:val="single" w:sz="4" w:space="0" w:color="auto"/>
            </w:tcBorders>
            <w:vAlign w:val="center"/>
          </w:tcPr>
          <w:p w:rsidR="00B97526" w:rsidRPr="000207A6" w:rsidRDefault="00B97526" w:rsidP="00B97526">
            <w:pPr>
              <w:spacing w:before="80" w:after="80"/>
              <w:jc w:val="center"/>
              <w:outlineLvl w:val="1"/>
              <w:rPr>
                <w:rFonts w:ascii="Times New Roman" w:eastAsia="Calibri" w:hAnsi="Times New Roman"/>
                <w:sz w:val="20"/>
                <w:lang w:eastAsia="x-none"/>
              </w:rPr>
            </w:pPr>
            <w:r w:rsidRPr="000207A6">
              <w:rPr>
                <w:rFonts w:ascii="Times New Roman" w:eastAsia="Calibri" w:hAnsi="Times New Roman"/>
                <w:sz w:val="20"/>
                <w:lang w:eastAsia="x-none"/>
              </w:rPr>
              <w:t>0</w:t>
            </w:r>
          </w:p>
        </w:tc>
        <w:tc>
          <w:tcPr>
            <w:tcW w:w="810" w:type="dxa"/>
            <w:tcBorders>
              <w:bottom w:val="single" w:sz="4" w:space="0" w:color="auto"/>
            </w:tcBorders>
            <w:vAlign w:val="center"/>
          </w:tcPr>
          <w:p w:rsidR="00B97526" w:rsidRPr="000207A6" w:rsidRDefault="00B97526" w:rsidP="00B97526">
            <w:pPr>
              <w:spacing w:before="80" w:after="80"/>
              <w:jc w:val="center"/>
              <w:outlineLvl w:val="1"/>
              <w:rPr>
                <w:rFonts w:ascii="Times New Roman" w:eastAsia="Calibri" w:hAnsi="Times New Roman"/>
                <w:sz w:val="20"/>
                <w:lang w:eastAsia="x-none"/>
              </w:rPr>
            </w:pPr>
            <w:r w:rsidRPr="000207A6">
              <w:rPr>
                <w:rFonts w:ascii="Times New Roman" w:eastAsia="Calibri" w:hAnsi="Times New Roman"/>
                <w:sz w:val="20"/>
                <w:lang w:eastAsia="x-none"/>
              </w:rPr>
              <w:t>0</w:t>
            </w:r>
          </w:p>
        </w:tc>
        <w:tc>
          <w:tcPr>
            <w:tcW w:w="810" w:type="dxa"/>
            <w:tcBorders>
              <w:bottom w:val="single" w:sz="4" w:space="0" w:color="auto"/>
            </w:tcBorders>
            <w:vAlign w:val="center"/>
          </w:tcPr>
          <w:p w:rsidR="00B97526" w:rsidRPr="000207A6" w:rsidRDefault="00B97526" w:rsidP="00B97526">
            <w:pPr>
              <w:spacing w:before="80" w:after="80"/>
              <w:jc w:val="right"/>
              <w:outlineLvl w:val="1"/>
              <w:rPr>
                <w:rFonts w:ascii="Times New Roman" w:eastAsia="Calibri" w:hAnsi="Times New Roman"/>
                <w:sz w:val="20"/>
                <w:lang w:eastAsia="x-none"/>
              </w:rPr>
            </w:pPr>
            <w:r w:rsidRPr="000207A6">
              <w:rPr>
                <w:rFonts w:ascii="Times New Roman" w:eastAsia="Calibri" w:hAnsi="Times New Roman"/>
                <w:sz w:val="20"/>
                <w:lang w:eastAsia="x-none"/>
              </w:rPr>
              <w:t>85.8</w:t>
            </w:r>
          </w:p>
        </w:tc>
      </w:tr>
      <w:tr w:rsidR="00B97526" w:rsidRPr="000207A6" w:rsidTr="006A2F52">
        <w:trPr>
          <w:trHeight w:val="233"/>
        </w:trPr>
        <w:tc>
          <w:tcPr>
            <w:tcW w:w="2898" w:type="dxa"/>
            <w:tcBorders>
              <w:right w:val="single" w:sz="4" w:space="0" w:color="auto"/>
            </w:tcBorders>
          </w:tcPr>
          <w:p w:rsidR="00B97526" w:rsidRPr="000207A6" w:rsidRDefault="00B97526" w:rsidP="00B97526">
            <w:pPr>
              <w:spacing w:before="80" w:after="80"/>
              <w:outlineLvl w:val="1"/>
              <w:rPr>
                <w:rFonts w:ascii="Times New Roman" w:eastAsia="Calibri" w:hAnsi="Times New Roman"/>
                <w:b/>
                <w:sz w:val="20"/>
                <w:lang w:eastAsia="x-none"/>
              </w:rPr>
            </w:pPr>
            <w:r w:rsidRPr="000207A6">
              <w:rPr>
                <w:rFonts w:ascii="Times New Roman" w:eastAsia="Calibri" w:hAnsi="Times New Roman"/>
                <w:b/>
                <w:sz w:val="20"/>
                <w:lang w:eastAsia="x-none"/>
              </w:rPr>
              <w:t>Total component costs</w:t>
            </w:r>
          </w:p>
        </w:tc>
        <w:tc>
          <w:tcPr>
            <w:tcW w:w="900" w:type="dxa"/>
            <w:tcBorders>
              <w:left w:val="single" w:sz="4" w:space="0" w:color="auto"/>
              <w:right w:val="single" w:sz="4" w:space="0" w:color="auto"/>
            </w:tcBorders>
          </w:tcPr>
          <w:p w:rsidR="00B97526" w:rsidRPr="000207A6" w:rsidRDefault="00B97526" w:rsidP="00B97526">
            <w:pPr>
              <w:spacing w:before="80" w:after="80"/>
              <w:jc w:val="right"/>
              <w:outlineLvl w:val="1"/>
              <w:rPr>
                <w:rFonts w:ascii="Times New Roman" w:eastAsia="Calibri" w:hAnsi="Times New Roman"/>
                <w:b/>
                <w:sz w:val="20"/>
                <w:lang w:eastAsia="x-none"/>
              </w:rPr>
            </w:pPr>
          </w:p>
        </w:tc>
        <w:tc>
          <w:tcPr>
            <w:tcW w:w="900" w:type="dxa"/>
            <w:tcBorders>
              <w:left w:val="single" w:sz="4" w:space="0" w:color="auto"/>
              <w:right w:val="single" w:sz="4" w:space="0" w:color="auto"/>
            </w:tcBorders>
          </w:tcPr>
          <w:p w:rsidR="00B97526" w:rsidRPr="000207A6" w:rsidRDefault="00B97526" w:rsidP="00B97526">
            <w:pPr>
              <w:spacing w:before="80" w:after="80"/>
              <w:jc w:val="right"/>
              <w:outlineLvl w:val="1"/>
              <w:rPr>
                <w:rFonts w:ascii="Times New Roman" w:eastAsia="Calibri" w:hAnsi="Times New Roman"/>
                <w:b/>
                <w:sz w:val="20"/>
                <w:lang w:eastAsia="x-none"/>
              </w:rPr>
            </w:pPr>
          </w:p>
        </w:tc>
        <w:tc>
          <w:tcPr>
            <w:tcW w:w="900" w:type="dxa"/>
            <w:tcBorders>
              <w:left w:val="single" w:sz="4" w:space="0" w:color="auto"/>
              <w:right w:val="single" w:sz="4" w:space="0" w:color="auto"/>
            </w:tcBorders>
          </w:tcPr>
          <w:p w:rsidR="00B97526" w:rsidRPr="000207A6" w:rsidRDefault="00B97526" w:rsidP="00B97526">
            <w:pPr>
              <w:spacing w:before="80" w:after="80"/>
              <w:jc w:val="right"/>
              <w:outlineLvl w:val="1"/>
              <w:rPr>
                <w:rFonts w:ascii="Times New Roman" w:eastAsia="Calibri" w:hAnsi="Times New Roman"/>
                <w:b/>
                <w:sz w:val="20"/>
                <w:lang w:eastAsia="x-none"/>
              </w:rPr>
            </w:pPr>
          </w:p>
        </w:tc>
        <w:tc>
          <w:tcPr>
            <w:tcW w:w="900" w:type="dxa"/>
            <w:tcBorders>
              <w:left w:val="single" w:sz="4" w:space="0" w:color="auto"/>
              <w:right w:val="single" w:sz="4" w:space="0" w:color="auto"/>
            </w:tcBorders>
          </w:tcPr>
          <w:p w:rsidR="00B97526" w:rsidRPr="000207A6" w:rsidRDefault="00B97526" w:rsidP="00B97526">
            <w:pPr>
              <w:spacing w:before="80" w:after="80"/>
              <w:jc w:val="right"/>
              <w:outlineLvl w:val="1"/>
              <w:rPr>
                <w:rFonts w:ascii="Times New Roman" w:eastAsia="Calibri" w:hAnsi="Times New Roman"/>
                <w:b/>
                <w:sz w:val="20"/>
                <w:lang w:eastAsia="x-none"/>
              </w:rPr>
            </w:pPr>
          </w:p>
        </w:tc>
        <w:tc>
          <w:tcPr>
            <w:tcW w:w="810" w:type="dxa"/>
            <w:tcBorders>
              <w:left w:val="single" w:sz="4" w:space="0" w:color="auto"/>
              <w:right w:val="single" w:sz="4" w:space="0" w:color="auto"/>
            </w:tcBorders>
          </w:tcPr>
          <w:p w:rsidR="00B97526" w:rsidRPr="000207A6" w:rsidRDefault="00B97526" w:rsidP="00B97526">
            <w:pPr>
              <w:spacing w:before="80" w:after="80"/>
              <w:jc w:val="right"/>
              <w:outlineLvl w:val="1"/>
              <w:rPr>
                <w:rFonts w:ascii="Times New Roman" w:eastAsia="Calibri" w:hAnsi="Times New Roman"/>
                <w:b/>
                <w:sz w:val="20"/>
                <w:lang w:eastAsia="x-none"/>
              </w:rPr>
            </w:pPr>
          </w:p>
        </w:tc>
        <w:tc>
          <w:tcPr>
            <w:tcW w:w="810" w:type="dxa"/>
            <w:tcBorders>
              <w:left w:val="single" w:sz="4" w:space="0" w:color="auto"/>
              <w:right w:val="single" w:sz="4" w:space="0" w:color="auto"/>
            </w:tcBorders>
          </w:tcPr>
          <w:p w:rsidR="00B97526" w:rsidRPr="000207A6" w:rsidRDefault="00B97526" w:rsidP="00B97526">
            <w:pPr>
              <w:spacing w:before="80" w:after="80"/>
              <w:jc w:val="right"/>
              <w:outlineLvl w:val="1"/>
              <w:rPr>
                <w:rFonts w:ascii="Times New Roman" w:eastAsia="Calibri" w:hAnsi="Times New Roman"/>
                <w:b/>
                <w:sz w:val="20"/>
                <w:lang w:eastAsia="x-none"/>
              </w:rPr>
            </w:pPr>
          </w:p>
        </w:tc>
        <w:tc>
          <w:tcPr>
            <w:tcW w:w="810" w:type="dxa"/>
            <w:tcBorders>
              <w:left w:val="single" w:sz="4" w:space="0" w:color="auto"/>
            </w:tcBorders>
          </w:tcPr>
          <w:p w:rsidR="00B97526" w:rsidRPr="000207A6" w:rsidRDefault="00B97526" w:rsidP="00B97526">
            <w:pPr>
              <w:spacing w:before="80" w:after="80"/>
              <w:jc w:val="right"/>
              <w:outlineLvl w:val="1"/>
              <w:rPr>
                <w:rFonts w:ascii="Times New Roman" w:eastAsia="Calibri" w:hAnsi="Times New Roman"/>
                <w:b/>
                <w:sz w:val="20"/>
                <w:lang w:eastAsia="x-none"/>
              </w:rPr>
            </w:pPr>
            <w:r w:rsidRPr="000207A6">
              <w:rPr>
                <w:rFonts w:ascii="Times New Roman" w:eastAsia="Calibri" w:hAnsi="Times New Roman"/>
                <w:b/>
                <w:sz w:val="20"/>
                <w:lang w:eastAsia="x-none"/>
              </w:rPr>
              <w:t>117.3</w:t>
            </w:r>
          </w:p>
        </w:tc>
      </w:tr>
      <w:tr w:rsidR="00B97526" w:rsidRPr="000207A6" w:rsidTr="006A2F52">
        <w:trPr>
          <w:trHeight w:val="449"/>
        </w:trPr>
        <w:tc>
          <w:tcPr>
            <w:tcW w:w="2898" w:type="dxa"/>
          </w:tcPr>
          <w:p w:rsidR="00B97526" w:rsidRPr="000207A6" w:rsidRDefault="00B97526" w:rsidP="00B97526">
            <w:pPr>
              <w:spacing w:before="80" w:after="80"/>
              <w:outlineLvl w:val="1"/>
              <w:rPr>
                <w:rFonts w:ascii="Times New Roman" w:eastAsiaTheme="minorHAnsi" w:hAnsi="Times New Roman"/>
                <w:sz w:val="20"/>
                <w:lang w:eastAsia="x-none"/>
              </w:rPr>
            </w:pPr>
            <w:r w:rsidRPr="000207A6">
              <w:rPr>
                <w:rFonts w:ascii="Times New Roman" w:eastAsia="Calibri" w:hAnsi="Times New Roman"/>
                <w:sz w:val="20"/>
                <w:lang w:val="x-none" w:eastAsia="x-none"/>
              </w:rPr>
              <w:t>Implementation costs and Technical Assistance activities</w:t>
            </w:r>
          </w:p>
        </w:tc>
        <w:tc>
          <w:tcPr>
            <w:tcW w:w="900" w:type="dxa"/>
            <w:vAlign w:val="center"/>
          </w:tcPr>
          <w:p w:rsidR="00B97526" w:rsidRPr="000207A6" w:rsidRDefault="00B97526" w:rsidP="00B97526">
            <w:pPr>
              <w:spacing w:before="80" w:after="80"/>
              <w:jc w:val="center"/>
              <w:outlineLvl w:val="1"/>
              <w:rPr>
                <w:rFonts w:ascii="Times New Roman" w:eastAsia="Calibri" w:hAnsi="Times New Roman"/>
                <w:sz w:val="20"/>
                <w:lang w:eastAsia="x-none"/>
              </w:rPr>
            </w:pPr>
            <w:r w:rsidRPr="000207A6">
              <w:rPr>
                <w:rFonts w:ascii="Times New Roman" w:eastAsia="Calibri" w:hAnsi="Times New Roman"/>
                <w:sz w:val="20"/>
                <w:lang w:eastAsia="x-none"/>
              </w:rPr>
              <w:t>0.6</w:t>
            </w:r>
          </w:p>
        </w:tc>
        <w:tc>
          <w:tcPr>
            <w:tcW w:w="900" w:type="dxa"/>
            <w:vAlign w:val="center"/>
          </w:tcPr>
          <w:p w:rsidR="00B97526" w:rsidRPr="000207A6" w:rsidRDefault="00B97526" w:rsidP="00B97526">
            <w:pPr>
              <w:spacing w:before="80" w:after="80"/>
              <w:jc w:val="center"/>
              <w:outlineLvl w:val="1"/>
              <w:rPr>
                <w:rFonts w:ascii="Times New Roman" w:eastAsia="Calibri" w:hAnsi="Times New Roman"/>
                <w:sz w:val="20"/>
                <w:lang w:eastAsia="x-none"/>
              </w:rPr>
            </w:pPr>
            <w:r w:rsidRPr="000207A6">
              <w:rPr>
                <w:rFonts w:ascii="Times New Roman" w:eastAsia="Calibri" w:hAnsi="Times New Roman"/>
                <w:sz w:val="20"/>
                <w:lang w:eastAsia="x-none"/>
              </w:rPr>
              <w:t>0.9</w:t>
            </w:r>
          </w:p>
        </w:tc>
        <w:tc>
          <w:tcPr>
            <w:tcW w:w="900" w:type="dxa"/>
            <w:vAlign w:val="center"/>
          </w:tcPr>
          <w:p w:rsidR="00B97526" w:rsidRPr="000207A6" w:rsidRDefault="00B97526" w:rsidP="00B97526">
            <w:pPr>
              <w:spacing w:before="80" w:after="80"/>
              <w:jc w:val="center"/>
              <w:outlineLvl w:val="1"/>
              <w:rPr>
                <w:rFonts w:ascii="Times New Roman" w:eastAsia="Calibri" w:hAnsi="Times New Roman"/>
                <w:sz w:val="20"/>
                <w:lang w:eastAsia="x-none"/>
              </w:rPr>
            </w:pPr>
            <w:r w:rsidRPr="000207A6">
              <w:rPr>
                <w:rFonts w:ascii="Times New Roman" w:eastAsia="Calibri" w:hAnsi="Times New Roman"/>
                <w:sz w:val="20"/>
                <w:lang w:eastAsia="x-none"/>
              </w:rPr>
              <w:t>0.5</w:t>
            </w:r>
          </w:p>
        </w:tc>
        <w:tc>
          <w:tcPr>
            <w:tcW w:w="900" w:type="dxa"/>
            <w:vAlign w:val="center"/>
          </w:tcPr>
          <w:p w:rsidR="00B97526" w:rsidRPr="000207A6" w:rsidRDefault="00B97526" w:rsidP="00B97526">
            <w:pPr>
              <w:spacing w:before="80" w:after="80"/>
              <w:jc w:val="center"/>
              <w:outlineLvl w:val="1"/>
              <w:rPr>
                <w:rFonts w:ascii="Times New Roman" w:eastAsia="Calibri" w:hAnsi="Times New Roman"/>
                <w:sz w:val="20"/>
                <w:lang w:eastAsia="x-none"/>
              </w:rPr>
            </w:pPr>
            <w:r w:rsidRPr="000207A6">
              <w:rPr>
                <w:rFonts w:ascii="Times New Roman" w:eastAsia="Calibri" w:hAnsi="Times New Roman"/>
                <w:sz w:val="20"/>
                <w:lang w:eastAsia="x-none"/>
              </w:rPr>
              <w:t>0.4</w:t>
            </w:r>
          </w:p>
        </w:tc>
        <w:tc>
          <w:tcPr>
            <w:tcW w:w="810" w:type="dxa"/>
            <w:vAlign w:val="center"/>
          </w:tcPr>
          <w:p w:rsidR="00B97526" w:rsidRPr="000207A6" w:rsidRDefault="00B97526" w:rsidP="00B97526">
            <w:pPr>
              <w:spacing w:before="80" w:after="80"/>
              <w:jc w:val="center"/>
              <w:outlineLvl w:val="1"/>
              <w:rPr>
                <w:rFonts w:ascii="Times New Roman" w:eastAsia="Calibri" w:hAnsi="Times New Roman"/>
                <w:sz w:val="20"/>
                <w:lang w:eastAsia="x-none"/>
              </w:rPr>
            </w:pPr>
            <w:r w:rsidRPr="000207A6">
              <w:rPr>
                <w:rFonts w:ascii="Times New Roman" w:eastAsia="Calibri" w:hAnsi="Times New Roman"/>
                <w:sz w:val="20"/>
                <w:lang w:eastAsia="x-none"/>
              </w:rPr>
              <w:t>0.4</w:t>
            </w:r>
          </w:p>
        </w:tc>
        <w:tc>
          <w:tcPr>
            <w:tcW w:w="810" w:type="dxa"/>
            <w:vAlign w:val="center"/>
          </w:tcPr>
          <w:p w:rsidR="00B97526" w:rsidRPr="000207A6" w:rsidRDefault="00B97526" w:rsidP="00B97526">
            <w:pPr>
              <w:spacing w:before="80" w:after="80"/>
              <w:jc w:val="center"/>
              <w:outlineLvl w:val="1"/>
              <w:rPr>
                <w:rFonts w:ascii="Times New Roman" w:eastAsia="Calibri" w:hAnsi="Times New Roman"/>
                <w:sz w:val="20"/>
                <w:lang w:eastAsia="x-none"/>
              </w:rPr>
            </w:pPr>
            <w:r w:rsidRPr="000207A6">
              <w:rPr>
                <w:rFonts w:ascii="Times New Roman" w:eastAsia="Calibri" w:hAnsi="Times New Roman"/>
                <w:sz w:val="20"/>
                <w:lang w:eastAsia="x-none"/>
              </w:rPr>
              <w:t>0</w:t>
            </w:r>
          </w:p>
        </w:tc>
        <w:tc>
          <w:tcPr>
            <w:tcW w:w="810" w:type="dxa"/>
            <w:vAlign w:val="center"/>
          </w:tcPr>
          <w:p w:rsidR="00B97526" w:rsidRPr="000207A6" w:rsidRDefault="00B97526" w:rsidP="00B97526">
            <w:pPr>
              <w:spacing w:before="80" w:after="80"/>
              <w:jc w:val="right"/>
              <w:outlineLvl w:val="1"/>
              <w:rPr>
                <w:rFonts w:ascii="Times New Roman" w:eastAsiaTheme="minorHAnsi" w:hAnsi="Times New Roman"/>
                <w:sz w:val="20"/>
                <w:lang w:eastAsia="x-none"/>
              </w:rPr>
            </w:pPr>
            <w:r w:rsidRPr="000207A6">
              <w:rPr>
                <w:rFonts w:ascii="Times New Roman" w:eastAsia="Calibri" w:hAnsi="Times New Roman"/>
                <w:sz w:val="20"/>
                <w:lang w:eastAsia="x-none"/>
              </w:rPr>
              <w:t>2.8</w:t>
            </w:r>
          </w:p>
        </w:tc>
      </w:tr>
      <w:tr w:rsidR="00B97526" w:rsidRPr="000207A6" w:rsidTr="006A2F52">
        <w:trPr>
          <w:trHeight w:val="233"/>
        </w:trPr>
        <w:tc>
          <w:tcPr>
            <w:tcW w:w="2898" w:type="dxa"/>
          </w:tcPr>
          <w:p w:rsidR="00B97526" w:rsidRPr="000207A6" w:rsidRDefault="00B97526" w:rsidP="00B97526">
            <w:pPr>
              <w:spacing w:before="80" w:after="80"/>
              <w:outlineLvl w:val="1"/>
              <w:rPr>
                <w:rFonts w:ascii="Times New Roman" w:eastAsia="Calibri" w:hAnsi="Times New Roman"/>
                <w:b/>
                <w:sz w:val="20"/>
                <w:lang w:eastAsia="x-none"/>
              </w:rPr>
            </w:pPr>
            <w:r w:rsidRPr="000207A6">
              <w:rPr>
                <w:rFonts w:ascii="Times New Roman" w:eastAsia="Calibri" w:hAnsi="Times New Roman"/>
                <w:b/>
                <w:sz w:val="20"/>
                <w:lang w:eastAsia="x-none"/>
              </w:rPr>
              <w:t>Total program financing</w:t>
            </w:r>
          </w:p>
        </w:tc>
        <w:tc>
          <w:tcPr>
            <w:tcW w:w="900" w:type="dxa"/>
          </w:tcPr>
          <w:p w:rsidR="00B97526" w:rsidRPr="000207A6" w:rsidRDefault="00B97526" w:rsidP="00B97526">
            <w:pPr>
              <w:spacing w:before="80" w:after="80"/>
              <w:jc w:val="right"/>
              <w:outlineLvl w:val="1"/>
              <w:rPr>
                <w:rFonts w:ascii="Times New Roman" w:eastAsia="Calibri" w:hAnsi="Times New Roman"/>
                <w:b/>
                <w:sz w:val="20"/>
                <w:lang w:eastAsia="x-none"/>
              </w:rPr>
            </w:pPr>
            <w:r w:rsidRPr="000207A6">
              <w:rPr>
                <w:rFonts w:ascii="Times New Roman" w:eastAsia="Calibri" w:hAnsi="Times New Roman"/>
                <w:b/>
                <w:sz w:val="20"/>
                <w:lang w:eastAsia="x-none"/>
              </w:rPr>
              <w:t>16.6</w:t>
            </w:r>
          </w:p>
        </w:tc>
        <w:tc>
          <w:tcPr>
            <w:tcW w:w="900" w:type="dxa"/>
          </w:tcPr>
          <w:p w:rsidR="00B97526" w:rsidRPr="000207A6" w:rsidRDefault="00B97526" w:rsidP="00B97526">
            <w:pPr>
              <w:spacing w:before="80" w:after="80"/>
              <w:jc w:val="right"/>
              <w:outlineLvl w:val="1"/>
              <w:rPr>
                <w:rFonts w:ascii="Times New Roman" w:eastAsia="Calibri" w:hAnsi="Times New Roman"/>
                <w:b/>
                <w:sz w:val="20"/>
                <w:lang w:eastAsia="x-none"/>
              </w:rPr>
            </w:pPr>
            <w:r w:rsidRPr="000207A6">
              <w:rPr>
                <w:rFonts w:ascii="Times New Roman" w:eastAsia="Calibri" w:hAnsi="Times New Roman"/>
                <w:b/>
                <w:sz w:val="20"/>
                <w:lang w:eastAsia="x-none"/>
              </w:rPr>
              <w:t>34.2</w:t>
            </w:r>
          </w:p>
        </w:tc>
        <w:tc>
          <w:tcPr>
            <w:tcW w:w="900" w:type="dxa"/>
          </w:tcPr>
          <w:p w:rsidR="00B97526" w:rsidRPr="000207A6" w:rsidRDefault="00B97526" w:rsidP="00B97526">
            <w:pPr>
              <w:spacing w:before="80" w:after="80"/>
              <w:jc w:val="right"/>
              <w:outlineLvl w:val="1"/>
              <w:rPr>
                <w:rFonts w:ascii="Times New Roman" w:eastAsia="Calibri" w:hAnsi="Times New Roman"/>
                <w:b/>
                <w:sz w:val="20"/>
                <w:lang w:eastAsia="x-none"/>
              </w:rPr>
            </w:pPr>
            <w:r w:rsidRPr="000207A6">
              <w:rPr>
                <w:rFonts w:ascii="Times New Roman" w:eastAsia="Calibri" w:hAnsi="Times New Roman"/>
                <w:b/>
                <w:sz w:val="20"/>
                <w:lang w:eastAsia="x-none"/>
              </w:rPr>
              <w:t>31.8</w:t>
            </w:r>
          </w:p>
        </w:tc>
        <w:tc>
          <w:tcPr>
            <w:tcW w:w="900" w:type="dxa"/>
          </w:tcPr>
          <w:p w:rsidR="00B97526" w:rsidRPr="000207A6" w:rsidRDefault="00B97526" w:rsidP="00B97526">
            <w:pPr>
              <w:spacing w:before="80" w:after="80"/>
              <w:jc w:val="right"/>
              <w:outlineLvl w:val="1"/>
              <w:rPr>
                <w:rFonts w:ascii="Times New Roman" w:eastAsia="Calibri" w:hAnsi="Times New Roman"/>
                <w:b/>
                <w:sz w:val="20"/>
                <w:lang w:eastAsia="x-none"/>
              </w:rPr>
            </w:pPr>
            <w:r w:rsidRPr="000207A6">
              <w:rPr>
                <w:rFonts w:ascii="Times New Roman" w:eastAsia="Calibri" w:hAnsi="Times New Roman"/>
                <w:b/>
                <w:sz w:val="20"/>
                <w:lang w:eastAsia="x-none"/>
              </w:rPr>
              <w:t>30.8</w:t>
            </w:r>
          </w:p>
        </w:tc>
        <w:tc>
          <w:tcPr>
            <w:tcW w:w="810" w:type="dxa"/>
          </w:tcPr>
          <w:p w:rsidR="00B97526" w:rsidRPr="000207A6" w:rsidRDefault="00B97526" w:rsidP="00B97526">
            <w:pPr>
              <w:spacing w:before="80" w:after="80"/>
              <w:jc w:val="right"/>
              <w:outlineLvl w:val="1"/>
              <w:rPr>
                <w:rFonts w:ascii="Times New Roman" w:eastAsia="Calibri" w:hAnsi="Times New Roman"/>
                <w:b/>
                <w:sz w:val="20"/>
                <w:lang w:eastAsia="x-none"/>
              </w:rPr>
            </w:pPr>
            <w:r w:rsidRPr="000207A6">
              <w:rPr>
                <w:rFonts w:ascii="Times New Roman" w:eastAsia="Calibri" w:hAnsi="Times New Roman"/>
                <w:b/>
                <w:sz w:val="20"/>
                <w:lang w:eastAsia="x-none"/>
              </w:rPr>
              <w:t>2.4</w:t>
            </w:r>
          </w:p>
        </w:tc>
        <w:tc>
          <w:tcPr>
            <w:tcW w:w="810" w:type="dxa"/>
          </w:tcPr>
          <w:p w:rsidR="00B97526" w:rsidRPr="000207A6" w:rsidRDefault="00B97526" w:rsidP="00B97526">
            <w:pPr>
              <w:spacing w:before="80" w:after="80"/>
              <w:jc w:val="right"/>
              <w:outlineLvl w:val="1"/>
              <w:rPr>
                <w:rFonts w:ascii="Times New Roman" w:eastAsia="Calibri" w:hAnsi="Times New Roman"/>
                <w:b/>
                <w:sz w:val="20"/>
                <w:lang w:eastAsia="x-none"/>
              </w:rPr>
            </w:pPr>
            <w:r w:rsidRPr="000207A6">
              <w:rPr>
                <w:rFonts w:ascii="Times New Roman" w:eastAsia="Calibri" w:hAnsi="Times New Roman"/>
                <w:b/>
                <w:sz w:val="20"/>
                <w:lang w:eastAsia="x-none"/>
              </w:rPr>
              <w:t>4.3</w:t>
            </w:r>
          </w:p>
        </w:tc>
        <w:tc>
          <w:tcPr>
            <w:tcW w:w="810" w:type="dxa"/>
          </w:tcPr>
          <w:p w:rsidR="00B97526" w:rsidRPr="000207A6" w:rsidRDefault="00B97526" w:rsidP="00B97526">
            <w:pPr>
              <w:spacing w:before="80" w:after="80"/>
              <w:jc w:val="right"/>
              <w:outlineLvl w:val="1"/>
              <w:rPr>
                <w:rFonts w:ascii="Times New Roman" w:eastAsia="Calibri" w:hAnsi="Times New Roman"/>
                <w:b/>
                <w:sz w:val="20"/>
                <w:lang w:eastAsia="x-none"/>
              </w:rPr>
            </w:pPr>
            <w:bookmarkStart w:id="4" w:name="_GoBack"/>
            <w:r w:rsidRPr="000207A6">
              <w:rPr>
                <w:rFonts w:ascii="Times New Roman" w:eastAsia="Calibri" w:hAnsi="Times New Roman"/>
                <w:b/>
                <w:sz w:val="20"/>
                <w:lang w:eastAsia="x-none"/>
              </w:rPr>
              <w:t>120</w:t>
            </w:r>
            <w:bookmarkEnd w:id="4"/>
            <w:r w:rsidRPr="000207A6">
              <w:rPr>
                <w:rFonts w:ascii="Times New Roman" w:eastAsia="Calibri" w:hAnsi="Times New Roman"/>
                <w:b/>
                <w:sz w:val="20"/>
                <w:lang w:eastAsia="x-none"/>
              </w:rPr>
              <w:t>.1</w:t>
            </w:r>
          </w:p>
        </w:tc>
      </w:tr>
    </w:tbl>
    <w:p w:rsidR="00AA33A0" w:rsidRDefault="001D6011" w:rsidP="00AA33A0">
      <w:pPr>
        <w:pStyle w:val="AutoNumpara"/>
        <w:rPr>
          <w:lang w:val="en-US"/>
        </w:rPr>
      </w:pPr>
      <w:r w:rsidRPr="001D6011">
        <w:rPr>
          <w:lang w:val="en-US"/>
        </w:rPr>
        <w:t xml:space="preserve">Backup monitoring disbursements for eligible expenditures will be made ex-post by the Bank. The Bank, in coordination with NAFIN may schedule visits to sub-borrowers to verify compliance </w:t>
      </w:r>
      <w:r>
        <w:rPr>
          <w:lang w:val="en-US"/>
        </w:rPr>
        <w:t>with</w:t>
      </w:r>
      <w:r w:rsidRPr="001D6011">
        <w:rPr>
          <w:lang w:val="en-US"/>
        </w:rPr>
        <w:t xml:space="preserve"> contractual conditions of the program in terms of allocation of funds.</w:t>
      </w:r>
      <w:r w:rsidR="003848DB">
        <w:rPr>
          <w:lang w:val="en-US"/>
        </w:rPr>
        <w:t xml:space="preserve"> </w:t>
      </w:r>
      <w:r w:rsidR="003848DB" w:rsidRPr="001D6011">
        <w:rPr>
          <w:lang w:val="en-US"/>
        </w:rPr>
        <w:t xml:space="preserve">NAFIN will allow </w:t>
      </w:r>
      <w:r w:rsidR="00E50DBC">
        <w:rPr>
          <w:lang w:val="en-US"/>
        </w:rPr>
        <w:t xml:space="preserve">the </w:t>
      </w:r>
      <w:r w:rsidR="003848DB">
        <w:rPr>
          <w:lang w:val="en-US"/>
        </w:rPr>
        <w:t>Bank or its representatives</w:t>
      </w:r>
      <w:r w:rsidR="003848DB" w:rsidRPr="001D6011">
        <w:rPr>
          <w:lang w:val="en-US"/>
        </w:rPr>
        <w:t xml:space="preserve"> to inspect at any time the status of program implementation</w:t>
      </w:r>
    </w:p>
    <w:p w:rsidR="001D6011" w:rsidRDefault="003848DB" w:rsidP="009063ED">
      <w:pPr>
        <w:pStyle w:val="AutoNumpara"/>
        <w:rPr>
          <w:lang w:val="en-US"/>
        </w:rPr>
      </w:pPr>
      <w:r w:rsidRPr="003848DB">
        <w:rPr>
          <w:lang w:val="en-US"/>
        </w:rPr>
        <w:t xml:space="preserve">The authorized operations must be properly identified in </w:t>
      </w:r>
      <w:r>
        <w:rPr>
          <w:lang w:val="en-US"/>
        </w:rPr>
        <w:t>NAFIN</w:t>
      </w:r>
      <w:r w:rsidR="00E50DBC">
        <w:rPr>
          <w:lang w:val="en-US"/>
        </w:rPr>
        <w:t>’s</w:t>
      </w:r>
      <w:r w:rsidRPr="003848DB">
        <w:rPr>
          <w:lang w:val="en-US"/>
        </w:rPr>
        <w:t xml:space="preserve"> accounting systems. </w:t>
      </w:r>
      <w:r>
        <w:rPr>
          <w:lang w:val="en-US"/>
        </w:rPr>
        <w:t>The accounting records should be in NAFIN</w:t>
      </w:r>
      <w:r w:rsidR="00E50DBC">
        <w:rPr>
          <w:lang w:val="en-US"/>
        </w:rPr>
        <w:t>’s</w:t>
      </w:r>
      <w:r>
        <w:rPr>
          <w:lang w:val="en-US"/>
        </w:rPr>
        <w:t xml:space="preserve"> accounting systems and</w:t>
      </w:r>
      <w:r w:rsidRPr="003848DB">
        <w:rPr>
          <w:lang w:val="en-US"/>
        </w:rPr>
        <w:t xml:space="preserve"> adjusted as stated in the loan agreements. </w:t>
      </w:r>
      <w:r w:rsidRPr="009063ED">
        <w:rPr>
          <w:lang w:val="en-US"/>
        </w:rPr>
        <w:t>These accounting records must allow tracing the financial terms of the transaction (currency, term, interest rate), the valu</w:t>
      </w:r>
      <w:r w:rsidR="009063ED" w:rsidRPr="009063ED">
        <w:rPr>
          <w:lang w:val="en-US"/>
        </w:rPr>
        <w:t>e of the expenditure, recoveries, the balance of the operation</w:t>
      </w:r>
      <w:r w:rsidRPr="009063ED">
        <w:rPr>
          <w:lang w:val="en-US"/>
        </w:rPr>
        <w:t xml:space="preserve"> and the specific </w:t>
      </w:r>
      <w:r w:rsidR="009063ED" w:rsidRPr="009063ED">
        <w:rPr>
          <w:lang w:val="en-US"/>
        </w:rPr>
        <w:t xml:space="preserve">default of the program if necessary. </w:t>
      </w:r>
      <w:r w:rsidRPr="009063ED">
        <w:rPr>
          <w:lang w:val="en-US"/>
        </w:rPr>
        <w:t xml:space="preserve"> </w:t>
      </w:r>
    </w:p>
    <w:p w:rsidR="009C50CE" w:rsidRPr="009C50CE" w:rsidRDefault="00B32DAD" w:rsidP="009C50CE">
      <w:pPr>
        <w:pStyle w:val="AutoNumpara"/>
        <w:rPr>
          <w:lang w:val="en-US"/>
        </w:rPr>
      </w:pPr>
      <w:r w:rsidRPr="004424E9">
        <w:rPr>
          <w:lang w:val="en-US"/>
        </w:rPr>
        <w:t>During the disbursement period, NAFIN is required to submit audited financial sta</w:t>
      </w:r>
      <w:r w:rsidR="00A73D28">
        <w:rPr>
          <w:lang w:val="en-US"/>
        </w:rPr>
        <w:t>tements of the program within 18</w:t>
      </w:r>
      <w:r w:rsidRPr="004424E9">
        <w:rPr>
          <w:lang w:val="en-US"/>
        </w:rPr>
        <w:t xml:space="preserve">0 days after the closing of each fiscal year, duly audited by an independent firm acceptable to the IDB and designated by the </w:t>
      </w:r>
      <w:r w:rsidRPr="004424E9">
        <w:rPr>
          <w:i/>
          <w:lang w:val="en-US"/>
        </w:rPr>
        <w:t>Secretaría de la Función Pública</w:t>
      </w:r>
      <w:r w:rsidRPr="004424E9">
        <w:rPr>
          <w:lang w:val="en-US"/>
        </w:rPr>
        <w:t>. The last report shall be submitted within 1</w:t>
      </w:r>
      <w:r w:rsidR="00A73D28">
        <w:rPr>
          <w:lang w:val="en-US"/>
        </w:rPr>
        <w:t>8</w:t>
      </w:r>
      <w:r w:rsidRPr="004424E9">
        <w:rPr>
          <w:lang w:val="en-US"/>
        </w:rPr>
        <w:t>0 days after the end of the disbursement period. NAFIN’s audited financial statements are published on their website so its submission is not deemed necessary</w:t>
      </w:r>
      <w:r w:rsidR="009C50CE" w:rsidRPr="009C50CE">
        <w:rPr>
          <w:lang w:val="en-US"/>
        </w:rPr>
        <w:t>.</w:t>
      </w:r>
    </w:p>
    <w:p w:rsidR="00D609AB" w:rsidRPr="009C50CE" w:rsidRDefault="00D609AB" w:rsidP="00031115">
      <w:pPr>
        <w:pStyle w:val="ListParagraph"/>
        <w:tabs>
          <w:tab w:val="left" w:pos="1440"/>
          <w:tab w:val="left" w:pos="3060"/>
        </w:tabs>
        <w:ind w:left="1425"/>
        <w:outlineLvl w:val="0"/>
        <w:rPr>
          <w:rFonts w:ascii="Times New Roman" w:hAnsi="Times New Roman"/>
          <w:b/>
          <w:smallCaps/>
          <w:sz w:val="28"/>
          <w:szCs w:val="28"/>
        </w:rPr>
      </w:pPr>
    </w:p>
    <w:p w:rsidR="00937D90" w:rsidRPr="00B1462E" w:rsidRDefault="001A7E25" w:rsidP="005D209C">
      <w:pPr>
        <w:pStyle w:val="ListParagraph"/>
        <w:numPr>
          <w:ilvl w:val="0"/>
          <w:numId w:val="2"/>
        </w:numPr>
        <w:tabs>
          <w:tab w:val="left" w:pos="1440"/>
          <w:tab w:val="left" w:pos="3060"/>
        </w:tabs>
        <w:jc w:val="center"/>
        <w:outlineLvl w:val="0"/>
        <w:rPr>
          <w:rFonts w:ascii="Times New Roman" w:hAnsi="Times New Roman"/>
          <w:b/>
          <w:smallCaps/>
          <w:sz w:val="28"/>
          <w:szCs w:val="28"/>
        </w:rPr>
      </w:pPr>
      <w:bookmarkStart w:id="5" w:name="_Toc375150055"/>
      <w:r>
        <w:rPr>
          <w:rFonts w:ascii="Times New Roman" w:hAnsi="Times New Roman"/>
          <w:b/>
          <w:smallCaps/>
          <w:sz w:val="28"/>
          <w:szCs w:val="28"/>
        </w:rPr>
        <w:t>MONITORING</w:t>
      </w:r>
      <w:bookmarkEnd w:id="5"/>
    </w:p>
    <w:p w:rsidR="006852A4" w:rsidRDefault="001A7E25" w:rsidP="0009138A">
      <w:pPr>
        <w:pStyle w:val="ListParagraph"/>
        <w:numPr>
          <w:ilvl w:val="1"/>
          <w:numId w:val="24"/>
        </w:numPr>
        <w:spacing w:after="240"/>
        <w:ind w:left="446"/>
        <w:contextualSpacing w:val="0"/>
        <w:outlineLvl w:val="0"/>
        <w:rPr>
          <w:rFonts w:ascii="Times New Roman Bold" w:hAnsi="Times New Roman Bold" w:cs="Times New Roman"/>
          <w:b/>
          <w:smallCaps/>
          <w:noProof/>
          <w:sz w:val="28"/>
          <w:szCs w:val="28"/>
        </w:rPr>
      </w:pPr>
      <w:bookmarkStart w:id="6" w:name="_Toc375150056"/>
      <w:r w:rsidRPr="004424E9">
        <w:rPr>
          <w:rFonts w:ascii="Times New Roman Bold" w:hAnsi="Times New Roman Bold" w:cs="Times New Roman"/>
          <w:b/>
          <w:smallCaps/>
          <w:noProof/>
          <w:sz w:val="28"/>
          <w:szCs w:val="28"/>
        </w:rPr>
        <w:t>Indicators</w:t>
      </w:r>
      <w:bookmarkEnd w:id="6"/>
    </w:p>
    <w:p w:rsidR="00463B31" w:rsidRPr="00463B31" w:rsidRDefault="00463B31" w:rsidP="005D209C">
      <w:pPr>
        <w:pStyle w:val="ListParagraph"/>
        <w:keepNext/>
        <w:numPr>
          <w:ilvl w:val="0"/>
          <w:numId w:val="6"/>
        </w:numPr>
        <w:spacing w:before="240" w:after="240" w:line="240" w:lineRule="auto"/>
        <w:contextualSpacing w:val="0"/>
        <w:jc w:val="center"/>
        <w:outlineLvl w:val="0"/>
        <w:rPr>
          <w:rFonts w:ascii="Times New Roman Bold" w:eastAsia="Times New Roman" w:hAnsi="Times New Roman Bold" w:cs="Times New Roman"/>
          <w:b/>
          <w:smallCaps/>
          <w:noProof/>
          <w:vanish/>
          <w:sz w:val="28"/>
          <w:szCs w:val="20"/>
          <w:lang w:val="es-ES" w:eastAsia="es-ES"/>
        </w:rPr>
      </w:pPr>
      <w:bookmarkStart w:id="7" w:name="_Toc374371337"/>
      <w:bookmarkStart w:id="8" w:name="_Toc375062477"/>
      <w:bookmarkStart w:id="9" w:name="_Toc375062508"/>
      <w:bookmarkStart w:id="10" w:name="_Toc375062590"/>
      <w:bookmarkStart w:id="11" w:name="_Toc375066792"/>
      <w:bookmarkStart w:id="12" w:name="_Toc375126114"/>
      <w:bookmarkStart w:id="13" w:name="_Toc375126292"/>
      <w:bookmarkStart w:id="14" w:name="_Toc375146668"/>
      <w:bookmarkStart w:id="15" w:name="_Toc375150057"/>
      <w:bookmarkEnd w:id="7"/>
      <w:bookmarkEnd w:id="8"/>
      <w:bookmarkEnd w:id="9"/>
      <w:bookmarkEnd w:id="10"/>
      <w:bookmarkEnd w:id="11"/>
      <w:bookmarkEnd w:id="12"/>
      <w:bookmarkEnd w:id="13"/>
      <w:bookmarkEnd w:id="14"/>
      <w:bookmarkEnd w:id="15"/>
    </w:p>
    <w:p w:rsidR="00362300" w:rsidRPr="00477129" w:rsidRDefault="00031115" w:rsidP="00463B31">
      <w:pPr>
        <w:pStyle w:val="AutoNumpara"/>
        <w:rPr>
          <w:szCs w:val="24"/>
          <w:lang w:val="en-US"/>
        </w:rPr>
      </w:pPr>
      <w:r w:rsidRPr="00463B31">
        <w:rPr>
          <w:lang w:val="en-US"/>
        </w:rPr>
        <w:t>The monitoring intends to follow up the execution of the program in order to identify the intermediate milestones achieved in each phase, identify corrective actions if necessary and evaluate its outcomes and f</w:t>
      </w:r>
      <w:r w:rsidR="003333C5" w:rsidRPr="00463B31">
        <w:rPr>
          <w:lang w:val="en-US"/>
        </w:rPr>
        <w:t>ulfillment of proposed targets.</w:t>
      </w:r>
      <w:r w:rsidRPr="00463B31">
        <w:rPr>
          <w:lang w:val="en-US"/>
        </w:rPr>
        <w:t xml:space="preserve"> </w:t>
      </w:r>
      <w:r w:rsidR="003333C5" w:rsidRPr="00477129">
        <w:rPr>
          <w:lang w:val="en-US"/>
        </w:rPr>
        <w:t xml:space="preserve">The indicators </w:t>
      </w:r>
      <w:r w:rsidR="00B32DAD">
        <w:rPr>
          <w:lang w:val="en-US"/>
        </w:rPr>
        <w:t xml:space="preserve">to be monitored will be those included </w:t>
      </w:r>
      <w:r w:rsidR="003333C5" w:rsidRPr="00477129">
        <w:rPr>
          <w:lang w:val="en-US"/>
        </w:rPr>
        <w:t xml:space="preserve">in the Results Matrix and in the Progress Monitoring Report (PMR). Table 2.1 summarizes </w:t>
      </w:r>
      <w:r w:rsidR="00D45AFF">
        <w:rPr>
          <w:lang w:val="en-US"/>
        </w:rPr>
        <w:t xml:space="preserve">them </w:t>
      </w:r>
      <w:r w:rsidR="003333C5" w:rsidRPr="00477129">
        <w:rPr>
          <w:lang w:val="en-US"/>
        </w:rPr>
        <w:t xml:space="preserve">and </w:t>
      </w:r>
      <w:r w:rsidR="00D45AFF">
        <w:rPr>
          <w:lang w:val="en-US"/>
        </w:rPr>
        <w:t>includes information on</w:t>
      </w:r>
      <w:r w:rsidR="003333C5" w:rsidRPr="00477129">
        <w:rPr>
          <w:lang w:val="en-US"/>
        </w:rPr>
        <w:t xml:space="preserve"> the source and frequency of collection and reporting process.</w:t>
      </w:r>
    </w:p>
    <w:p w:rsidR="003333C5" w:rsidRPr="004424E9" w:rsidRDefault="00362300" w:rsidP="00362300">
      <w:pPr>
        <w:pStyle w:val="BodyText2"/>
        <w:spacing w:after="0" w:line="240" w:lineRule="auto"/>
        <w:jc w:val="center"/>
        <w:rPr>
          <w:b/>
          <w:sz w:val="22"/>
          <w:szCs w:val="24"/>
          <w:lang w:val="en-US"/>
        </w:rPr>
      </w:pPr>
      <w:proofErr w:type="gramStart"/>
      <w:r w:rsidRPr="004424E9">
        <w:rPr>
          <w:b/>
          <w:sz w:val="22"/>
          <w:szCs w:val="24"/>
          <w:lang w:val="en-US"/>
        </w:rPr>
        <w:t>Table 2.1.</w:t>
      </w:r>
      <w:proofErr w:type="gramEnd"/>
      <w:r w:rsidRPr="004424E9">
        <w:rPr>
          <w:b/>
          <w:sz w:val="22"/>
          <w:szCs w:val="24"/>
          <w:lang w:val="en-US"/>
        </w:rPr>
        <w:t xml:space="preserve"> Indicators</w:t>
      </w:r>
    </w:p>
    <w:tbl>
      <w:tblPr>
        <w:tblpPr w:leftFromText="180" w:rightFromText="180" w:vertAnchor="text" w:horzAnchor="margin" w:tblpXSpec="center" w:tblpY="247"/>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firstRow="0" w:lastRow="1" w:firstColumn="0" w:lastColumn="0" w:noHBand="0" w:noVBand="0"/>
      </w:tblPr>
      <w:tblGrid>
        <w:gridCol w:w="2268"/>
        <w:gridCol w:w="900"/>
        <w:gridCol w:w="1710"/>
        <w:gridCol w:w="5310"/>
      </w:tblGrid>
      <w:tr w:rsidR="00FB7282" w:rsidRPr="00F54C08" w:rsidTr="00B97526">
        <w:trPr>
          <w:cantSplit/>
          <w:trHeight w:val="353"/>
        </w:trPr>
        <w:tc>
          <w:tcPr>
            <w:tcW w:w="2268" w:type="dxa"/>
            <w:tcBorders>
              <w:bottom w:val="single" w:sz="4" w:space="0" w:color="auto"/>
            </w:tcBorders>
            <w:shd w:val="clear" w:color="auto" w:fill="F2F2F2"/>
            <w:vAlign w:val="center"/>
          </w:tcPr>
          <w:p w:rsidR="00FB7282" w:rsidRPr="00F54C08" w:rsidRDefault="00FB7282" w:rsidP="00B97526">
            <w:pPr>
              <w:spacing w:after="0"/>
              <w:jc w:val="center"/>
              <w:rPr>
                <w:b/>
                <w:bCs/>
                <w:sz w:val="20"/>
                <w:szCs w:val="20"/>
              </w:rPr>
            </w:pPr>
            <w:r w:rsidRPr="00F54C08">
              <w:rPr>
                <w:b/>
                <w:bCs/>
                <w:sz w:val="20"/>
                <w:szCs w:val="20"/>
              </w:rPr>
              <w:t>Indicators</w:t>
            </w:r>
          </w:p>
        </w:tc>
        <w:tc>
          <w:tcPr>
            <w:tcW w:w="900" w:type="dxa"/>
            <w:tcBorders>
              <w:bottom w:val="single" w:sz="4" w:space="0" w:color="auto"/>
            </w:tcBorders>
            <w:shd w:val="clear" w:color="auto" w:fill="F2F2F2"/>
            <w:vAlign w:val="center"/>
          </w:tcPr>
          <w:p w:rsidR="00FB7282" w:rsidRPr="00F54C08" w:rsidRDefault="00FB7282" w:rsidP="00B97526">
            <w:pPr>
              <w:spacing w:after="0"/>
              <w:ind w:left="-50" w:firstLine="50"/>
              <w:jc w:val="center"/>
              <w:rPr>
                <w:b/>
                <w:bCs/>
                <w:sz w:val="20"/>
                <w:szCs w:val="20"/>
              </w:rPr>
            </w:pPr>
            <w:r w:rsidRPr="00F54C08">
              <w:rPr>
                <w:b/>
                <w:bCs/>
                <w:sz w:val="20"/>
                <w:szCs w:val="20"/>
              </w:rPr>
              <w:t>Unit</w:t>
            </w:r>
            <w:r>
              <w:rPr>
                <w:rStyle w:val="FootnoteReference"/>
                <w:bCs/>
              </w:rPr>
              <w:footnoteReference w:id="6"/>
            </w:r>
          </w:p>
        </w:tc>
        <w:tc>
          <w:tcPr>
            <w:tcW w:w="1710" w:type="dxa"/>
            <w:tcBorders>
              <w:bottom w:val="single" w:sz="4" w:space="0" w:color="auto"/>
            </w:tcBorders>
            <w:shd w:val="clear" w:color="auto" w:fill="F2F2F2"/>
            <w:vAlign w:val="center"/>
          </w:tcPr>
          <w:p w:rsidR="00FB7282" w:rsidRPr="00EA23D1" w:rsidRDefault="00FB7282" w:rsidP="00B97526">
            <w:pPr>
              <w:spacing w:after="0"/>
              <w:ind w:left="-50" w:firstLine="50"/>
              <w:jc w:val="center"/>
              <w:rPr>
                <w:b/>
                <w:bCs/>
                <w:sz w:val="18"/>
                <w:szCs w:val="20"/>
              </w:rPr>
            </w:pPr>
            <w:r w:rsidRPr="00FB7282">
              <w:rPr>
                <w:b/>
                <w:bCs/>
                <w:sz w:val="16"/>
                <w:szCs w:val="20"/>
              </w:rPr>
              <w:t>Frequency of measurement</w:t>
            </w:r>
          </w:p>
        </w:tc>
        <w:tc>
          <w:tcPr>
            <w:tcW w:w="5310" w:type="dxa"/>
            <w:tcBorders>
              <w:bottom w:val="single" w:sz="4" w:space="0" w:color="auto"/>
            </w:tcBorders>
            <w:shd w:val="clear" w:color="auto" w:fill="F2F2F2"/>
            <w:vAlign w:val="center"/>
          </w:tcPr>
          <w:p w:rsidR="00FB7282" w:rsidRPr="00F54C08" w:rsidRDefault="00FB7282" w:rsidP="00B97526">
            <w:pPr>
              <w:spacing w:after="0"/>
              <w:jc w:val="center"/>
              <w:rPr>
                <w:b/>
                <w:bCs/>
                <w:sz w:val="20"/>
                <w:szCs w:val="20"/>
              </w:rPr>
            </w:pPr>
            <w:r w:rsidRPr="00F54C08">
              <w:rPr>
                <w:b/>
                <w:bCs/>
                <w:sz w:val="20"/>
                <w:szCs w:val="20"/>
              </w:rPr>
              <w:t>Description / Source of verification</w:t>
            </w:r>
          </w:p>
        </w:tc>
      </w:tr>
      <w:tr w:rsidR="00FB7282" w:rsidRPr="00F54C08" w:rsidTr="00B97526">
        <w:trPr>
          <w:cantSplit/>
        </w:trPr>
        <w:tc>
          <w:tcPr>
            <w:tcW w:w="2268" w:type="dxa"/>
            <w:tcBorders>
              <w:right w:val="nil"/>
            </w:tcBorders>
            <w:shd w:val="clear" w:color="auto" w:fill="BFBFBF" w:themeFill="background1" w:themeFillShade="BF"/>
            <w:vAlign w:val="center"/>
          </w:tcPr>
          <w:p w:rsidR="00FB7282" w:rsidRPr="00F54C08" w:rsidRDefault="00FB7282" w:rsidP="003F44DC">
            <w:pPr>
              <w:spacing w:before="60" w:after="60"/>
              <w:rPr>
                <w:sz w:val="20"/>
                <w:szCs w:val="20"/>
              </w:rPr>
            </w:pPr>
            <w:r w:rsidRPr="00F54C08">
              <w:rPr>
                <w:b/>
                <w:smallCaps/>
                <w:sz w:val="20"/>
                <w:szCs w:val="20"/>
              </w:rPr>
              <w:t>Outputs Component I</w:t>
            </w:r>
          </w:p>
        </w:tc>
        <w:tc>
          <w:tcPr>
            <w:tcW w:w="900" w:type="dxa"/>
            <w:tcBorders>
              <w:left w:val="nil"/>
              <w:right w:val="nil"/>
            </w:tcBorders>
            <w:shd w:val="clear" w:color="auto" w:fill="BFBFBF" w:themeFill="background1" w:themeFillShade="BF"/>
            <w:vAlign w:val="center"/>
          </w:tcPr>
          <w:p w:rsidR="00FB7282" w:rsidRPr="00F54C08" w:rsidRDefault="00FB7282" w:rsidP="003F44DC">
            <w:pPr>
              <w:spacing w:before="60" w:after="60"/>
              <w:jc w:val="center"/>
              <w:rPr>
                <w:sz w:val="20"/>
                <w:szCs w:val="20"/>
              </w:rPr>
            </w:pPr>
          </w:p>
        </w:tc>
        <w:tc>
          <w:tcPr>
            <w:tcW w:w="1710" w:type="dxa"/>
            <w:tcBorders>
              <w:left w:val="nil"/>
              <w:right w:val="nil"/>
            </w:tcBorders>
            <w:shd w:val="clear" w:color="auto" w:fill="BFBFBF" w:themeFill="background1" w:themeFillShade="BF"/>
            <w:vAlign w:val="center"/>
          </w:tcPr>
          <w:p w:rsidR="00FB7282" w:rsidRPr="00F54C08" w:rsidRDefault="00FB7282" w:rsidP="003F44DC">
            <w:pPr>
              <w:spacing w:before="60" w:after="60"/>
              <w:jc w:val="center"/>
              <w:rPr>
                <w:sz w:val="20"/>
                <w:szCs w:val="20"/>
              </w:rPr>
            </w:pPr>
          </w:p>
        </w:tc>
        <w:tc>
          <w:tcPr>
            <w:tcW w:w="5310" w:type="dxa"/>
            <w:tcBorders>
              <w:left w:val="nil"/>
            </w:tcBorders>
            <w:shd w:val="clear" w:color="auto" w:fill="BFBFBF" w:themeFill="background1" w:themeFillShade="BF"/>
            <w:vAlign w:val="center"/>
          </w:tcPr>
          <w:p w:rsidR="00FB7282" w:rsidRPr="00F54C08" w:rsidRDefault="00FB7282" w:rsidP="003F44DC">
            <w:pPr>
              <w:spacing w:before="60" w:after="60"/>
              <w:rPr>
                <w:sz w:val="20"/>
                <w:szCs w:val="20"/>
              </w:rPr>
            </w:pPr>
          </w:p>
        </w:tc>
      </w:tr>
      <w:tr w:rsidR="00FB7282" w:rsidRPr="00951BEE" w:rsidTr="00B97526">
        <w:trPr>
          <w:cantSplit/>
        </w:trPr>
        <w:tc>
          <w:tcPr>
            <w:tcW w:w="2268" w:type="dxa"/>
            <w:tcBorders>
              <w:bottom w:val="single" w:sz="4" w:space="0" w:color="auto"/>
            </w:tcBorders>
            <w:vAlign w:val="center"/>
          </w:tcPr>
          <w:p w:rsidR="00FB7282" w:rsidRPr="008E4738" w:rsidRDefault="00FB7282" w:rsidP="006C5AFC">
            <w:pPr>
              <w:spacing w:before="60" w:after="60"/>
              <w:rPr>
                <w:sz w:val="20"/>
                <w:szCs w:val="20"/>
              </w:rPr>
            </w:pPr>
            <w:r>
              <w:rPr>
                <w:sz w:val="20"/>
                <w:szCs w:val="20"/>
              </w:rPr>
              <w:t>Grants (in the form of loan guarantees) provided to geothermal</w:t>
            </w:r>
            <w:r w:rsidRPr="008E4738">
              <w:rPr>
                <w:sz w:val="20"/>
                <w:szCs w:val="20"/>
              </w:rPr>
              <w:t xml:space="preserve"> projects</w:t>
            </w:r>
            <w:r>
              <w:rPr>
                <w:sz w:val="20"/>
                <w:szCs w:val="20"/>
              </w:rPr>
              <w:t xml:space="preserve"> with resources from the program</w:t>
            </w:r>
          </w:p>
        </w:tc>
        <w:tc>
          <w:tcPr>
            <w:tcW w:w="900" w:type="dxa"/>
            <w:tcBorders>
              <w:bottom w:val="single" w:sz="4" w:space="0" w:color="auto"/>
            </w:tcBorders>
            <w:vAlign w:val="center"/>
          </w:tcPr>
          <w:p w:rsidR="00FB7282" w:rsidRPr="00EA23D1" w:rsidRDefault="00FB7282" w:rsidP="003F44DC">
            <w:pPr>
              <w:spacing w:before="60" w:after="60"/>
              <w:jc w:val="center"/>
              <w:rPr>
                <w:sz w:val="16"/>
                <w:szCs w:val="20"/>
              </w:rPr>
            </w:pPr>
            <w:r w:rsidRPr="00F54C08">
              <w:rPr>
                <w:sz w:val="20"/>
                <w:szCs w:val="20"/>
              </w:rPr>
              <w:t>Number</w:t>
            </w:r>
          </w:p>
        </w:tc>
        <w:tc>
          <w:tcPr>
            <w:tcW w:w="1710" w:type="dxa"/>
            <w:tcBorders>
              <w:bottom w:val="single" w:sz="4" w:space="0" w:color="auto"/>
            </w:tcBorders>
            <w:vAlign w:val="center"/>
          </w:tcPr>
          <w:p w:rsidR="00FB7282" w:rsidRPr="00F54C08" w:rsidRDefault="00FB7282" w:rsidP="003F44DC">
            <w:pPr>
              <w:spacing w:before="60" w:after="60"/>
              <w:jc w:val="center"/>
              <w:rPr>
                <w:sz w:val="20"/>
                <w:szCs w:val="20"/>
              </w:rPr>
            </w:pPr>
            <w:r>
              <w:rPr>
                <w:sz w:val="20"/>
                <w:szCs w:val="20"/>
              </w:rPr>
              <w:t>Annual</w:t>
            </w:r>
          </w:p>
        </w:tc>
        <w:tc>
          <w:tcPr>
            <w:tcW w:w="5310" w:type="dxa"/>
            <w:tcBorders>
              <w:bottom w:val="single" w:sz="4" w:space="0" w:color="auto"/>
            </w:tcBorders>
            <w:vAlign w:val="center"/>
          </w:tcPr>
          <w:p w:rsidR="00FB7282" w:rsidRDefault="00FB7282" w:rsidP="003F44DC">
            <w:pPr>
              <w:spacing w:before="60" w:after="60"/>
              <w:rPr>
                <w:sz w:val="20"/>
                <w:szCs w:val="20"/>
              </w:rPr>
            </w:pPr>
            <w:r>
              <w:rPr>
                <w:sz w:val="20"/>
                <w:szCs w:val="20"/>
              </w:rPr>
              <w:t>Values based on guarantee agreements</w:t>
            </w:r>
            <w:r w:rsidRPr="00F54C08">
              <w:rPr>
                <w:sz w:val="20"/>
                <w:szCs w:val="20"/>
              </w:rPr>
              <w:t>.</w:t>
            </w:r>
          </w:p>
          <w:p w:rsidR="00FB7282" w:rsidRPr="00620983" w:rsidRDefault="00FB7282" w:rsidP="003F44DC">
            <w:pPr>
              <w:spacing w:before="60" w:after="60"/>
              <w:rPr>
                <w:sz w:val="20"/>
                <w:szCs w:val="20"/>
              </w:rPr>
            </w:pPr>
            <w:r>
              <w:rPr>
                <w:sz w:val="20"/>
                <w:szCs w:val="20"/>
              </w:rPr>
              <w:t>Target is inclusive of all projects supported, both successful and failed.</w:t>
            </w:r>
          </w:p>
          <w:p w:rsidR="00FB7282" w:rsidRPr="00620983" w:rsidRDefault="00FB7282" w:rsidP="003F44DC">
            <w:pPr>
              <w:spacing w:before="60" w:after="60"/>
              <w:rPr>
                <w:sz w:val="20"/>
                <w:szCs w:val="20"/>
              </w:rPr>
            </w:pPr>
            <w:r w:rsidRPr="00620983">
              <w:rPr>
                <w:sz w:val="20"/>
                <w:szCs w:val="20"/>
              </w:rPr>
              <w:t xml:space="preserve">Source: </w:t>
            </w:r>
            <w:r w:rsidRPr="00F54C08">
              <w:rPr>
                <w:sz w:val="20"/>
                <w:szCs w:val="20"/>
              </w:rPr>
              <w:t>Program report from NAFIN</w:t>
            </w:r>
            <w:r w:rsidRPr="00620983">
              <w:rPr>
                <w:sz w:val="20"/>
                <w:szCs w:val="20"/>
              </w:rPr>
              <w:t>.</w:t>
            </w:r>
            <w:r>
              <w:rPr>
                <w:sz w:val="20"/>
                <w:szCs w:val="20"/>
              </w:rPr>
              <w:t xml:space="preserve"> Estimations consider that a beneficiary project that is successful during early exploration may be eligible for support from the program in the production drilling phase.</w:t>
            </w:r>
          </w:p>
        </w:tc>
      </w:tr>
      <w:tr w:rsidR="00FB7282" w:rsidRPr="00951BEE" w:rsidTr="00B97526">
        <w:trPr>
          <w:cantSplit/>
        </w:trPr>
        <w:tc>
          <w:tcPr>
            <w:tcW w:w="2268" w:type="dxa"/>
            <w:tcBorders>
              <w:bottom w:val="single" w:sz="4" w:space="0" w:color="auto"/>
            </w:tcBorders>
            <w:vAlign w:val="center"/>
          </w:tcPr>
          <w:p w:rsidR="00FB7282" w:rsidRDefault="00FB7282" w:rsidP="003F44DC">
            <w:pPr>
              <w:spacing w:before="60" w:after="60"/>
              <w:rPr>
                <w:sz w:val="20"/>
                <w:szCs w:val="20"/>
              </w:rPr>
            </w:pPr>
            <w:r>
              <w:rPr>
                <w:sz w:val="20"/>
                <w:szCs w:val="20"/>
              </w:rPr>
              <w:t>Insurance premiums  for geothermal</w:t>
            </w:r>
            <w:r w:rsidRPr="008E4738">
              <w:rPr>
                <w:sz w:val="20"/>
                <w:szCs w:val="20"/>
              </w:rPr>
              <w:t xml:space="preserve"> projects</w:t>
            </w:r>
            <w:r>
              <w:rPr>
                <w:sz w:val="20"/>
                <w:szCs w:val="20"/>
              </w:rPr>
              <w:t xml:space="preserve"> subsidized with resources from the program</w:t>
            </w:r>
          </w:p>
        </w:tc>
        <w:tc>
          <w:tcPr>
            <w:tcW w:w="900" w:type="dxa"/>
            <w:tcBorders>
              <w:bottom w:val="single" w:sz="4" w:space="0" w:color="auto"/>
            </w:tcBorders>
            <w:vAlign w:val="center"/>
          </w:tcPr>
          <w:p w:rsidR="00FB7282" w:rsidRDefault="00FB7282" w:rsidP="003F44DC">
            <w:pPr>
              <w:spacing w:before="60" w:after="60"/>
              <w:jc w:val="center"/>
              <w:rPr>
                <w:sz w:val="20"/>
                <w:szCs w:val="20"/>
              </w:rPr>
            </w:pPr>
            <w:r w:rsidRPr="00F54C08">
              <w:rPr>
                <w:sz w:val="20"/>
                <w:szCs w:val="20"/>
              </w:rPr>
              <w:t>Number</w:t>
            </w:r>
          </w:p>
        </w:tc>
        <w:tc>
          <w:tcPr>
            <w:tcW w:w="1710" w:type="dxa"/>
            <w:tcBorders>
              <w:bottom w:val="single" w:sz="4" w:space="0" w:color="auto"/>
            </w:tcBorders>
            <w:vAlign w:val="center"/>
          </w:tcPr>
          <w:p w:rsidR="00FB7282" w:rsidRPr="00F54C08" w:rsidRDefault="00FB7282" w:rsidP="003F44DC">
            <w:pPr>
              <w:spacing w:before="60" w:after="60"/>
              <w:jc w:val="center"/>
              <w:rPr>
                <w:sz w:val="20"/>
                <w:szCs w:val="20"/>
              </w:rPr>
            </w:pPr>
            <w:r>
              <w:rPr>
                <w:sz w:val="20"/>
                <w:szCs w:val="20"/>
              </w:rPr>
              <w:t>Annual</w:t>
            </w:r>
          </w:p>
        </w:tc>
        <w:tc>
          <w:tcPr>
            <w:tcW w:w="5310" w:type="dxa"/>
            <w:tcBorders>
              <w:bottom w:val="single" w:sz="4" w:space="0" w:color="auto"/>
            </w:tcBorders>
            <w:vAlign w:val="center"/>
          </w:tcPr>
          <w:p w:rsidR="00FB7282" w:rsidRDefault="00FB7282" w:rsidP="003F44DC">
            <w:pPr>
              <w:spacing w:before="60" w:after="60"/>
              <w:rPr>
                <w:sz w:val="20"/>
                <w:szCs w:val="20"/>
              </w:rPr>
            </w:pPr>
            <w:r>
              <w:rPr>
                <w:sz w:val="20"/>
                <w:szCs w:val="20"/>
              </w:rPr>
              <w:t>Values based on insurance policies issued</w:t>
            </w:r>
            <w:r w:rsidRPr="00F54C08">
              <w:rPr>
                <w:sz w:val="20"/>
                <w:szCs w:val="20"/>
              </w:rPr>
              <w:t>.</w:t>
            </w:r>
          </w:p>
          <w:p w:rsidR="00FB7282" w:rsidRPr="00620983" w:rsidRDefault="00FB7282" w:rsidP="003F44DC">
            <w:pPr>
              <w:spacing w:before="60" w:after="60"/>
              <w:rPr>
                <w:sz w:val="20"/>
                <w:szCs w:val="20"/>
              </w:rPr>
            </w:pPr>
            <w:r>
              <w:rPr>
                <w:sz w:val="20"/>
                <w:szCs w:val="20"/>
              </w:rPr>
              <w:t>Target is inclusive of all projects supported, both successful and failed.</w:t>
            </w:r>
          </w:p>
          <w:p w:rsidR="00FB7282" w:rsidRDefault="00FB7282" w:rsidP="003F44DC">
            <w:pPr>
              <w:spacing w:before="60" w:after="60"/>
              <w:rPr>
                <w:sz w:val="20"/>
                <w:szCs w:val="20"/>
              </w:rPr>
            </w:pPr>
            <w:r w:rsidRPr="00620983">
              <w:rPr>
                <w:sz w:val="20"/>
                <w:szCs w:val="20"/>
              </w:rPr>
              <w:t xml:space="preserve">Source: </w:t>
            </w:r>
            <w:r w:rsidRPr="00F54C08">
              <w:rPr>
                <w:sz w:val="20"/>
                <w:szCs w:val="20"/>
              </w:rPr>
              <w:t>Program report from NAFIN</w:t>
            </w:r>
            <w:r w:rsidRPr="00620983">
              <w:rPr>
                <w:sz w:val="20"/>
                <w:szCs w:val="20"/>
              </w:rPr>
              <w:t>.</w:t>
            </w:r>
            <w:r>
              <w:rPr>
                <w:sz w:val="20"/>
                <w:szCs w:val="20"/>
              </w:rPr>
              <w:t xml:space="preserve"> Estimations consider that a beneficiary project that is successful during early exploration may be eligible for support from the program in the production drilling phase.</w:t>
            </w:r>
          </w:p>
        </w:tc>
      </w:tr>
      <w:tr w:rsidR="00FB7282" w:rsidRPr="007B6CAF" w:rsidTr="00B97526">
        <w:trPr>
          <w:cantSplit/>
        </w:trPr>
        <w:tc>
          <w:tcPr>
            <w:tcW w:w="2268" w:type="dxa"/>
            <w:tcBorders>
              <w:bottom w:val="single" w:sz="4" w:space="0" w:color="auto"/>
              <w:right w:val="nil"/>
            </w:tcBorders>
            <w:shd w:val="clear" w:color="auto" w:fill="BFBFBF" w:themeFill="background1" w:themeFillShade="BF"/>
            <w:vAlign w:val="center"/>
          </w:tcPr>
          <w:p w:rsidR="00FB7282" w:rsidRPr="00F54C08" w:rsidRDefault="00FB7282" w:rsidP="003F44DC">
            <w:pPr>
              <w:spacing w:before="60" w:after="60"/>
              <w:rPr>
                <w:sz w:val="20"/>
                <w:szCs w:val="20"/>
              </w:rPr>
            </w:pPr>
            <w:r w:rsidRPr="00F54C08">
              <w:rPr>
                <w:b/>
                <w:smallCaps/>
                <w:sz w:val="20"/>
                <w:szCs w:val="20"/>
              </w:rPr>
              <w:t>Outputs Component II</w:t>
            </w:r>
          </w:p>
        </w:tc>
        <w:tc>
          <w:tcPr>
            <w:tcW w:w="900" w:type="dxa"/>
            <w:tcBorders>
              <w:left w:val="nil"/>
              <w:bottom w:val="single" w:sz="4" w:space="0" w:color="auto"/>
              <w:right w:val="nil"/>
            </w:tcBorders>
            <w:shd w:val="clear" w:color="auto" w:fill="BFBFBF" w:themeFill="background1" w:themeFillShade="BF"/>
            <w:vAlign w:val="center"/>
          </w:tcPr>
          <w:p w:rsidR="00FB7282" w:rsidRPr="00F54C08" w:rsidRDefault="00FB7282" w:rsidP="003F44DC">
            <w:pPr>
              <w:spacing w:before="60" w:after="60"/>
              <w:jc w:val="center"/>
              <w:rPr>
                <w:sz w:val="20"/>
                <w:szCs w:val="20"/>
              </w:rPr>
            </w:pPr>
          </w:p>
        </w:tc>
        <w:tc>
          <w:tcPr>
            <w:tcW w:w="1710" w:type="dxa"/>
            <w:tcBorders>
              <w:left w:val="nil"/>
              <w:bottom w:val="single" w:sz="4" w:space="0" w:color="auto"/>
              <w:right w:val="nil"/>
            </w:tcBorders>
            <w:shd w:val="clear" w:color="auto" w:fill="BFBFBF" w:themeFill="background1" w:themeFillShade="BF"/>
            <w:vAlign w:val="center"/>
          </w:tcPr>
          <w:p w:rsidR="00FB7282" w:rsidRPr="00F54C08" w:rsidRDefault="00FB7282" w:rsidP="003F44DC">
            <w:pPr>
              <w:spacing w:before="60" w:after="60"/>
              <w:jc w:val="center"/>
              <w:rPr>
                <w:sz w:val="20"/>
                <w:szCs w:val="20"/>
              </w:rPr>
            </w:pPr>
          </w:p>
        </w:tc>
        <w:tc>
          <w:tcPr>
            <w:tcW w:w="5310" w:type="dxa"/>
            <w:tcBorders>
              <w:left w:val="nil"/>
              <w:bottom w:val="single" w:sz="4" w:space="0" w:color="auto"/>
            </w:tcBorders>
            <w:shd w:val="clear" w:color="auto" w:fill="BFBFBF" w:themeFill="background1" w:themeFillShade="BF"/>
            <w:vAlign w:val="center"/>
          </w:tcPr>
          <w:p w:rsidR="00FB7282" w:rsidRPr="00F54C08" w:rsidRDefault="00FB7282" w:rsidP="003F44DC">
            <w:pPr>
              <w:spacing w:before="60" w:after="60"/>
              <w:rPr>
                <w:sz w:val="20"/>
                <w:szCs w:val="20"/>
              </w:rPr>
            </w:pPr>
          </w:p>
        </w:tc>
      </w:tr>
      <w:tr w:rsidR="00FB7282" w:rsidRPr="00951BEE" w:rsidTr="00B97526">
        <w:trPr>
          <w:cantSplit/>
        </w:trPr>
        <w:tc>
          <w:tcPr>
            <w:tcW w:w="2268" w:type="dxa"/>
            <w:tcBorders>
              <w:bottom w:val="single" w:sz="4" w:space="0" w:color="auto"/>
            </w:tcBorders>
            <w:vAlign w:val="center"/>
          </w:tcPr>
          <w:p w:rsidR="00FB7282" w:rsidRPr="00F54C08" w:rsidRDefault="00FB7282" w:rsidP="003F44DC">
            <w:pPr>
              <w:spacing w:before="60" w:after="60"/>
              <w:rPr>
                <w:sz w:val="20"/>
                <w:szCs w:val="20"/>
              </w:rPr>
            </w:pPr>
            <w:r>
              <w:rPr>
                <w:sz w:val="20"/>
                <w:szCs w:val="20"/>
              </w:rPr>
              <w:t>Loans granted to g</w:t>
            </w:r>
            <w:r w:rsidRPr="00F54C08">
              <w:rPr>
                <w:sz w:val="20"/>
                <w:szCs w:val="20"/>
              </w:rPr>
              <w:t xml:space="preserve">eothermal </w:t>
            </w:r>
            <w:r>
              <w:rPr>
                <w:sz w:val="20"/>
                <w:szCs w:val="20"/>
              </w:rPr>
              <w:t>projects</w:t>
            </w:r>
            <w:r w:rsidRPr="00F54C08">
              <w:rPr>
                <w:sz w:val="20"/>
                <w:szCs w:val="20"/>
              </w:rPr>
              <w:t xml:space="preserve"> </w:t>
            </w:r>
            <w:r>
              <w:rPr>
                <w:sz w:val="20"/>
                <w:szCs w:val="20"/>
              </w:rPr>
              <w:t>by the program at any stage of development.</w:t>
            </w:r>
          </w:p>
        </w:tc>
        <w:tc>
          <w:tcPr>
            <w:tcW w:w="900" w:type="dxa"/>
            <w:tcBorders>
              <w:bottom w:val="single" w:sz="4" w:space="0" w:color="auto"/>
            </w:tcBorders>
            <w:vAlign w:val="center"/>
          </w:tcPr>
          <w:p w:rsidR="00FB7282" w:rsidRPr="00F54C08" w:rsidRDefault="00FB7282" w:rsidP="003F44DC">
            <w:pPr>
              <w:spacing w:before="60" w:after="60"/>
              <w:jc w:val="center"/>
              <w:rPr>
                <w:sz w:val="20"/>
                <w:szCs w:val="20"/>
              </w:rPr>
            </w:pPr>
            <w:r w:rsidRPr="00F54C08">
              <w:rPr>
                <w:sz w:val="20"/>
                <w:szCs w:val="20"/>
              </w:rPr>
              <w:t>Number</w:t>
            </w:r>
          </w:p>
        </w:tc>
        <w:tc>
          <w:tcPr>
            <w:tcW w:w="1710" w:type="dxa"/>
            <w:tcBorders>
              <w:bottom w:val="single" w:sz="4" w:space="0" w:color="auto"/>
            </w:tcBorders>
            <w:vAlign w:val="center"/>
          </w:tcPr>
          <w:p w:rsidR="00FB7282" w:rsidRPr="00F54C08" w:rsidRDefault="00FB7282" w:rsidP="003F44DC">
            <w:pPr>
              <w:spacing w:before="60" w:after="60"/>
              <w:jc w:val="center"/>
              <w:rPr>
                <w:sz w:val="20"/>
                <w:szCs w:val="20"/>
              </w:rPr>
            </w:pPr>
            <w:r>
              <w:rPr>
                <w:sz w:val="20"/>
                <w:szCs w:val="20"/>
              </w:rPr>
              <w:t>Annual</w:t>
            </w:r>
          </w:p>
        </w:tc>
        <w:tc>
          <w:tcPr>
            <w:tcW w:w="5310" w:type="dxa"/>
            <w:tcBorders>
              <w:bottom w:val="single" w:sz="4" w:space="0" w:color="auto"/>
            </w:tcBorders>
            <w:vAlign w:val="center"/>
          </w:tcPr>
          <w:p w:rsidR="00FB7282" w:rsidRDefault="00FB7282" w:rsidP="003F44DC">
            <w:pPr>
              <w:spacing w:before="60" w:after="60"/>
              <w:rPr>
                <w:sz w:val="20"/>
                <w:szCs w:val="20"/>
              </w:rPr>
            </w:pPr>
            <w:r>
              <w:rPr>
                <w:sz w:val="20"/>
                <w:szCs w:val="20"/>
              </w:rPr>
              <w:t>Values based on loan agreements for financing funded with resources from the program. Figures consider loans at any stage of development including loans convertible to grants, insured loans, soft loans, and/or refinancing of projects that move on from early exploration to production drilling and to construction stages</w:t>
            </w:r>
            <w:r w:rsidRPr="00620983">
              <w:rPr>
                <w:sz w:val="20"/>
                <w:szCs w:val="20"/>
              </w:rPr>
              <w:t>.</w:t>
            </w:r>
          </w:p>
          <w:p w:rsidR="00FB7282" w:rsidRPr="00620983" w:rsidRDefault="00FB7282" w:rsidP="003F44DC">
            <w:pPr>
              <w:spacing w:before="60" w:after="60"/>
              <w:rPr>
                <w:sz w:val="20"/>
                <w:szCs w:val="20"/>
              </w:rPr>
            </w:pPr>
            <w:r>
              <w:rPr>
                <w:sz w:val="20"/>
                <w:szCs w:val="20"/>
              </w:rPr>
              <w:t>Target is inclusive of all projects financed, both successful and failed.</w:t>
            </w:r>
          </w:p>
          <w:p w:rsidR="00FB7282" w:rsidRPr="00F54C08" w:rsidRDefault="00FB7282" w:rsidP="003F44DC">
            <w:pPr>
              <w:spacing w:before="60" w:after="60"/>
              <w:rPr>
                <w:sz w:val="20"/>
                <w:szCs w:val="20"/>
              </w:rPr>
            </w:pPr>
            <w:r w:rsidRPr="00F54C08">
              <w:rPr>
                <w:sz w:val="20"/>
                <w:szCs w:val="20"/>
              </w:rPr>
              <w:t>Source: Program report from NAFIN.</w:t>
            </w:r>
          </w:p>
        </w:tc>
      </w:tr>
      <w:tr w:rsidR="006E6916" w:rsidRPr="00951BEE" w:rsidTr="0009138A">
        <w:trPr>
          <w:cantSplit/>
        </w:trPr>
        <w:tc>
          <w:tcPr>
            <w:tcW w:w="10188" w:type="dxa"/>
            <w:gridSpan w:val="4"/>
            <w:tcBorders>
              <w:bottom w:val="single" w:sz="4" w:space="0" w:color="auto"/>
            </w:tcBorders>
            <w:shd w:val="clear" w:color="auto" w:fill="BFBFBF" w:themeFill="background1" w:themeFillShade="BF"/>
            <w:vAlign w:val="center"/>
          </w:tcPr>
          <w:p w:rsidR="006E6916" w:rsidRDefault="006E6916" w:rsidP="003F44DC">
            <w:pPr>
              <w:spacing w:before="60" w:after="60"/>
              <w:rPr>
                <w:sz w:val="20"/>
                <w:szCs w:val="20"/>
              </w:rPr>
            </w:pPr>
            <w:r w:rsidRPr="004424E9">
              <w:rPr>
                <w:b/>
                <w:smallCaps/>
                <w:sz w:val="20"/>
                <w:szCs w:val="20"/>
              </w:rPr>
              <w:t>RESULTS</w:t>
            </w:r>
          </w:p>
        </w:tc>
      </w:tr>
      <w:tr w:rsidR="006E6916" w:rsidRPr="00951BEE" w:rsidTr="00B97526">
        <w:trPr>
          <w:cantSplit/>
        </w:trPr>
        <w:tc>
          <w:tcPr>
            <w:tcW w:w="2268" w:type="dxa"/>
            <w:tcBorders>
              <w:bottom w:val="single" w:sz="4" w:space="0" w:color="auto"/>
            </w:tcBorders>
            <w:vAlign w:val="center"/>
          </w:tcPr>
          <w:p w:rsidR="006E6916" w:rsidRPr="000F102A" w:rsidRDefault="006E6916" w:rsidP="006E6916">
            <w:pPr>
              <w:spacing w:before="60" w:after="60"/>
              <w:rPr>
                <w:sz w:val="20"/>
                <w:szCs w:val="20"/>
              </w:rPr>
            </w:pPr>
            <w:r w:rsidRPr="004424E9">
              <w:rPr>
                <w:sz w:val="20"/>
              </w:rPr>
              <w:t>Geothermal projects financed that moved on from early exploration to production drilling</w:t>
            </w:r>
          </w:p>
        </w:tc>
        <w:tc>
          <w:tcPr>
            <w:tcW w:w="900" w:type="dxa"/>
            <w:tcBorders>
              <w:bottom w:val="single" w:sz="4" w:space="0" w:color="auto"/>
            </w:tcBorders>
            <w:vAlign w:val="center"/>
          </w:tcPr>
          <w:p w:rsidR="006E6916" w:rsidRPr="00F54C08" w:rsidRDefault="006E6916" w:rsidP="006E6916">
            <w:pPr>
              <w:spacing w:before="60" w:after="60"/>
              <w:jc w:val="center"/>
              <w:rPr>
                <w:sz w:val="20"/>
                <w:szCs w:val="20"/>
              </w:rPr>
            </w:pPr>
            <w:r>
              <w:rPr>
                <w:sz w:val="20"/>
                <w:szCs w:val="20"/>
              </w:rPr>
              <w:t>Number (%)</w:t>
            </w:r>
          </w:p>
        </w:tc>
        <w:tc>
          <w:tcPr>
            <w:tcW w:w="1710" w:type="dxa"/>
            <w:tcBorders>
              <w:bottom w:val="single" w:sz="4" w:space="0" w:color="auto"/>
            </w:tcBorders>
            <w:vAlign w:val="center"/>
          </w:tcPr>
          <w:p w:rsidR="006E6916" w:rsidRDefault="006E6916" w:rsidP="006E6916">
            <w:pPr>
              <w:spacing w:before="60" w:after="60"/>
              <w:jc w:val="center"/>
              <w:rPr>
                <w:sz w:val="20"/>
                <w:szCs w:val="20"/>
              </w:rPr>
            </w:pPr>
            <w:r>
              <w:rPr>
                <w:sz w:val="20"/>
                <w:szCs w:val="20"/>
              </w:rPr>
              <w:t>Once, at the end of execution period</w:t>
            </w:r>
          </w:p>
        </w:tc>
        <w:tc>
          <w:tcPr>
            <w:tcW w:w="5310" w:type="dxa"/>
            <w:tcBorders>
              <w:bottom w:val="single" w:sz="4" w:space="0" w:color="auto"/>
            </w:tcBorders>
            <w:vAlign w:val="center"/>
          </w:tcPr>
          <w:p w:rsidR="006E6916" w:rsidRDefault="006E6916" w:rsidP="006E6916">
            <w:pPr>
              <w:spacing w:before="60" w:after="60"/>
              <w:rPr>
                <w:sz w:val="20"/>
                <w:szCs w:val="20"/>
              </w:rPr>
            </w:pPr>
            <w:r w:rsidRPr="00F54C08">
              <w:rPr>
                <w:sz w:val="20"/>
                <w:szCs w:val="20"/>
              </w:rPr>
              <w:t>Source:  Program report from NAFIN</w:t>
            </w:r>
            <w:r>
              <w:rPr>
                <w:sz w:val="20"/>
                <w:szCs w:val="20"/>
              </w:rPr>
              <w:t>. Percentage will be measured over the total amount of projects financed (at any stage) as of end of execution period.</w:t>
            </w:r>
          </w:p>
        </w:tc>
      </w:tr>
      <w:tr w:rsidR="006E6916" w:rsidRPr="00951BEE" w:rsidTr="00B97526">
        <w:trPr>
          <w:cantSplit/>
        </w:trPr>
        <w:tc>
          <w:tcPr>
            <w:tcW w:w="2268" w:type="dxa"/>
            <w:tcBorders>
              <w:bottom w:val="single" w:sz="4" w:space="0" w:color="auto"/>
            </w:tcBorders>
            <w:vAlign w:val="center"/>
          </w:tcPr>
          <w:p w:rsidR="006E6916" w:rsidRPr="000F102A" w:rsidRDefault="006E6916" w:rsidP="006E6916">
            <w:pPr>
              <w:spacing w:before="60" w:after="60"/>
              <w:rPr>
                <w:sz w:val="20"/>
                <w:szCs w:val="20"/>
              </w:rPr>
            </w:pPr>
            <w:r w:rsidRPr="004424E9">
              <w:rPr>
                <w:sz w:val="20"/>
              </w:rPr>
              <w:t>Geothermal projects financed that moved on from production drilling to construction</w:t>
            </w:r>
          </w:p>
        </w:tc>
        <w:tc>
          <w:tcPr>
            <w:tcW w:w="900" w:type="dxa"/>
            <w:tcBorders>
              <w:bottom w:val="single" w:sz="4" w:space="0" w:color="auto"/>
            </w:tcBorders>
            <w:vAlign w:val="center"/>
          </w:tcPr>
          <w:p w:rsidR="006E6916" w:rsidRPr="00F54C08" w:rsidRDefault="006E6916" w:rsidP="006E6916">
            <w:pPr>
              <w:spacing w:before="60" w:after="60"/>
              <w:jc w:val="center"/>
              <w:rPr>
                <w:sz w:val="20"/>
                <w:szCs w:val="20"/>
              </w:rPr>
            </w:pPr>
            <w:r>
              <w:rPr>
                <w:sz w:val="20"/>
                <w:szCs w:val="20"/>
              </w:rPr>
              <w:t>Number (%)</w:t>
            </w:r>
          </w:p>
        </w:tc>
        <w:tc>
          <w:tcPr>
            <w:tcW w:w="1710" w:type="dxa"/>
            <w:tcBorders>
              <w:bottom w:val="single" w:sz="4" w:space="0" w:color="auto"/>
            </w:tcBorders>
            <w:vAlign w:val="center"/>
          </w:tcPr>
          <w:p w:rsidR="006E6916" w:rsidRDefault="006E6916" w:rsidP="006E6916">
            <w:pPr>
              <w:spacing w:before="60" w:after="60"/>
              <w:jc w:val="center"/>
              <w:rPr>
                <w:sz w:val="20"/>
                <w:szCs w:val="20"/>
              </w:rPr>
            </w:pPr>
            <w:r>
              <w:rPr>
                <w:sz w:val="20"/>
                <w:szCs w:val="20"/>
              </w:rPr>
              <w:t>Once, at the end of execution period</w:t>
            </w:r>
          </w:p>
        </w:tc>
        <w:tc>
          <w:tcPr>
            <w:tcW w:w="5310" w:type="dxa"/>
            <w:tcBorders>
              <w:bottom w:val="single" w:sz="4" w:space="0" w:color="auto"/>
            </w:tcBorders>
            <w:vAlign w:val="center"/>
          </w:tcPr>
          <w:p w:rsidR="006E6916" w:rsidRDefault="006E6916" w:rsidP="006E6916">
            <w:pPr>
              <w:spacing w:before="60" w:after="60"/>
              <w:rPr>
                <w:sz w:val="20"/>
                <w:szCs w:val="20"/>
              </w:rPr>
            </w:pPr>
            <w:r w:rsidRPr="00F54C08">
              <w:rPr>
                <w:sz w:val="20"/>
                <w:szCs w:val="20"/>
              </w:rPr>
              <w:t>Source:  Program report from NAFIN</w:t>
            </w:r>
            <w:r>
              <w:rPr>
                <w:sz w:val="20"/>
                <w:szCs w:val="20"/>
              </w:rPr>
              <w:t>. Percentage will be measured over the total amount of projects financed (at any stage) as of end of execution period.</w:t>
            </w:r>
          </w:p>
        </w:tc>
      </w:tr>
      <w:tr w:rsidR="006E6916" w:rsidRPr="00951BEE" w:rsidTr="00B97526">
        <w:trPr>
          <w:cantSplit/>
        </w:trPr>
        <w:tc>
          <w:tcPr>
            <w:tcW w:w="2268" w:type="dxa"/>
            <w:tcBorders>
              <w:bottom w:val="single" w:sz="4" w:space="0" w:color="auto"/>
            </w:tcBorders>
            <w:vAlign w:val="center"/>
          </w:tcPr>
          <w:p w:rsidR="006E6916" w:rsidRPr="000F102A" w:rsidRDefault="006E6916" w:rsidP="006E6916">
            <w:pPr>
              <w:spacing w:before="60" w:after="60"/>
              <w:rPr>
                <w:sz w:val="20"/>
                <w:szCs w:val="20"/>
              </w:rPr>
            </w:pPr>
            <w:r w:rsidRPr="004424E9">
              <w:rPr>
                <w:sz w:val="20"/>
              </w:rPr>
              <w:t>Total geothermal power projects financed at some stage by the program that are in operation (producing electricity)</w:t>
            </w:r>
          </w:p>
        </w:tc>
        <w:tc>
          <w:tcPr>
            <w:tcW w:w="900" w:type="dxa"/>
            <w:tcBorders>
              <w:bottom w:val="single" w:sz="4" w:space="0" w:color="auto"/>
            </w:tcBorders>
            <w:vAlign w:val="center"/>
          </w:tcPr>
          <w:p w:rsidR="006E6916" w:rsidRPr="00F54C08" w:rsidRDefault="006E6916" w:rsidP="006E6916">
            <w:pPr>
              <w:spacing w:before="60" w:after="60"/>
              <w:jc w:val="center"/>
              <w:rPr>
                <w:sz w:val="20"/>
                <w:szCs w:val="20"/>
              </w:rPr>
            </w:pPr>
            <w:r>
              <w:rPr>
                <w:sz w:val="20"/>
                <w:szCs w:val="20"/>
              </w:rPr>
              <w:t>Number</w:t>
            </w:r>
          </w:p>
        </w:tc>
        <w:tc>
          <w:tcPr>
            <w:tcW w:w="1710" w:type="dxa"/>
            <w:tcBorders>
              <w:bottom w:val="single" w:sz="4" w:space="0" w:color="auto"/>
            </w:tcBorders>
            <w:vAlign w:val="center"/>
          </w:tcPr>
          <w:p w:rsidR="006E6916" w:rsidRDefault="006E6916" w:rsidP="006E6916">
            <w:pPr>
              <w:spacing w:before="60" w:after="60"/>
              <w:jc w:val="center"/>
              <w:rPr>
                <w:sz w:val="20"/>
                <w:szCs w:val="20"/>
              </w:rPr>
            </w:pPr>
            <w:r>
              <w:rPr>
                <w:sz w:val="20"/>
                <w:szCs w:val="20"/>
              </w:rPr>
              <w:t>Once, at the end of execution period (</w:t>
            </w:r>
            <w:proofErr w:type="spellStart"/>
            <w:r>
              <w:rPr>
                <w:sz w:val="20"/>
                <w:szCs w:val="20"/>
              </w:rPr>
              <w:t>inc.</w:t>
            </w:r>
            <w:proofErr w:type="spellEnd"/>
            <w:r>
              <w:rPr>
                <w:sz w:val="20"/>
                <w:szCs w:val="20"/>
              </w:rPr>
              <w:t xml:space="preserve"> projected value for year 10)</w:t>
            </w:r>
          </w:p>
        </w:tc>
        <w:tc>
          <w:tcPr>
            <w:tcW w:w="5310" w:type="dxa"/>
            <w:tcBorders>
              <w:bottom w:val="single" w:sz="4" w:space="0" w:color="auto"/>
            </w:tcBorders>
            <w:vAlign w:val="center"/>
          </w:tcPr>
          <w:p w:rsidR="006E6916" w:rsidRPr="00F54C08" w:rsidRDefault="006E6916" w:rsidP="006E6916">
            <w:pPr>
              <w:spacing w:before="60" w:after="60"/>
              <w:rPr>
                <w:sz w:val="20"/>
                <w:szCs w:val="20"/>
              </w:rPr>
            </w:pPr>
            <w:r>
              <w:rPr>
                <w:sz w:val="20"/>
                <w:szCs w:val="20"/>
              </w:rPr>
              <w:t xml:space="preserve">Includes the total number of projects that are functioning in the year indicated. </w:t>
            </w:r>
            <w:r w:rsidRPr="00F54C08">
              <w:rPr>
                <w:sz w:val="20"/>
                <w:szCs w:val="20"/>
              </w:rPr>
              <w:t xml:space="preserve">Due to the long maturities associated to these projects, </w:t>
            </w:r>
            <w:r>
              <w:rPr>
                <w:sz w:val="20"/>
                <w:szCs w:val="20"/>
              </w:rPr>
              <w:t>p</w:t>
            </w:r>
            <w:r w:rsidRPr="00F54C08">
              <w:rPr>
                <w:sz w:val="20"/>
                <w:szCs w:val="20"/>
              </w:rPr>
              <w:t xml:space="preserve">rojects financed </w:t>
            </w:r>
            <w:r>
              <w:rPr>
                <w:sz w:val="20"/>
                <w:szCs w:val="20"/>
              </w:rPr>
              <w:t>from early exploration</w:t>
            </w:r>
            <w:r w:rsidRPr="00F54C08">
              <w:rPr>
                <w:sz w:val="20"/>
                <w:szCs w:val="20"/>
              </w:rPr>
              <w:t xml:space="preserve"> </w:t>
            </w:r>
            <w:r>
              <w:rPr>
                <w:sz w:val="20"/>
                <w:szCs w:val="20"/>
              </w:rPr>
              <w:t>may not be fully operational until past the timeframe of monitoring (see target 2024)</w:t>
            </w:r>
            <w:r w:rsidRPr="00F54C08">
              <w:rPr>
                <w:sz w:val="20"/>
                <w:szCs w:val="20"/>
              </w:rPr>
              <w:t>.</w:t>
            </w:r>
          </w:p>
          <w:p w:rsidR="006E6916" w:rsidRDefault="006E6916" w:rsidP="006E6916">
            <w:pPr>
              <w:spacing w:before="60" w:after="60"/>
              <w:rPr>
                <w:sz w:val="20"/>
                <w:szCs w:val="20"/>
              </w:rPr>
            </w:pPr>
            <w:r w:rsidRPr="00F54C08">
              <w:rPr>
                <w:sz w:val="20"/>
                <w:szCs w:val="20"/>
              </w:rPr>
              <w:t>Source:  Program report from NAFIN.</w:t>
            </w:r>
          </w:p>
        </w:tc>
      </w:tr>
      <w:tr w:rsidR="006E6916" w:rsidRPr="00951BEE" w:rsidTr="00B97526">
        <w:trPr>
          <w:cantSplit/>
        </w:trPr>
        <w:tc>
          <w:tcPr>
            <w:tcW w:w="2268" w:type="dxa"/>
            <w:tcBorders>
              <w:bottom w:val="single" w:sz="4" w:space="0" w:color="auto"/>
            </w:tcBorders>
            <w:vAlign w:val="center"/>
          </w:tcPr>
          <w:p w:rsidR="006E6916" w:rsidRPr="000F102A" w:rsidRDefault="006E6916" w:rsidP="006E6916">
            <w:pPr>
              <w:spacing w:before="60" w:after="60"/>
              <w:rPr>
                <w:sz w:val="20"/>
                <w:szCs w:val="20"/>
              </w:rPr>
            </w:pPr>
            <w:r w:rsidRPr="004424E9">
              <w:rPr>
                <w:sz w:val="20"/>
              </w:rPr>
              <w:t>Geothermal power generation capacity installed in projects financed at some stage by the program</w:t>
            </w:r>
          </w:p>
        </w:tc>
        <w:tc>
          <w:tcPr>
            <w:tcW w:w="900" w:type="dxa"/>
            <w:tcBorders>
              <w:bottom w:val="single" w:sz="4" w:space="0" w:color="auto"/>
            </w:tcBorders>
            <w:vAlign w:val="center"/>
          </w:tcPr>
          <w:p w:rsidR="006E6916" w:rsidRPr="00F54C08" w:rsidRDefault="006E6916" w:rsidP="006E6916">
            <w:pPr>
              <w:spacing w:before="60" w:after="60"/>
              <w:jc w:val="center"/>
              <w:rPr>
                <w:sz w:val="20"/>
                <w:szCs w:val="20"/>
              </w:rPr>
            </w:pPr>
            <w:proofErr w:type="spellStart"/>
            <w:r w:rsidRPr="00F54C08">
              <w:rPr>
                <w:sz w:val="20"/>
                <w:szCs w:val="20"/>
              </w:rPr>
              <w:t>MW</w:t>
            </w:r>
            <w:r>
              <w:rPr>
                <w:sz w:val="20"/>
                <w:szCs w:val="20"/>
              </w:rPr>
              <w:t>e</w:t>
            </w:r>
            <w:proofErr w:type="spellEnd"/>
          </w:p>
        </w:tc>
        <w:tc>
          <w:tcPr>
            <w:tcW w:w="1710" w:type="dxa"/>
            <w:tcBorders>
              <w:bottom w:val="single" w:sz="4" w:space="0" w:color="auto"/>
            </w:tcBorders>
            <w:vAlign w:val="center"/>
          </w:tcPr>
          <w:p w:rsidR="006E6916" w:rsidRDefault="006E6916" w:rsidP="006E6916">
            <w:pPr>
              <w:spacing w:before="60" w:after="60"/>
              <w:jc w:val="center"/>
              <w:rPr>
                <w:sz w:val="20"/>
                <w:szCs w:val="20"/>
              </w:rPr>
            </w:pPr>
            <w:r>
              <w:rPr>
                <w:sz w:val="20"/>
                <w:szCs w:val="20"/>
              </w:rPr>
              <w:t>Once, at the end of execution period (</w:t>
            </w:r>
            <w:proofErr w:type="spellStart"/>
            <w:r>
              <w:rPr>
                <w:sz w:val="20"/>
                <w:szCs w:val="20"/>
              </w:rPr>
              <w:t>inc.</w:t>
            </w:r>
            <w:proofErr w:type="spellEnd"/>
            <w:r>
              <w:rPr>
                <w:sz w:val="20"/>
                <w:szCs w:val="20"/>
              </w:rPr>
              <w:t xml:space="preserve"> projected value for year 10)</w:t>
            </w:r>
          </w:p>
        </w:tc>
        <w:tc>
          <w:tcPr>
            <w:tcW w:w="5310" w:type="dxa"/>
            <w:tcBorders>
              <w:bottom w:val="single" w:sz="4" w:space="0" w:color="auto"/>
            </w:tcBorders>
            <w:vAlign w:val="center"/>
          </w:tcPr>
          <w:p w:rsidR="006E6916" w:rsidRPr="00F54C08" w:rsidRDefault="006E6916" w:rsidP="006E6916">
            <w:pPr>
              <w:spacing w:before="60" w:after="60"/>
              <w:rPr>
                <w:sz w:val="20"/>
                <w:szCs w:val="20"/>
              </w:rPr>
            </w:pPr>
            <w:r>
              <w:rPr>
                <w:sz w:val="20"/>
                <w:szCs w:val="20"/>
              </w:rPr>
              <w:t xml:space="preserve">Includes only capacity ready for production. </w:t>
            </w:r>
            <w:r w:rsidRPr="00F54C08">
              <w:rPr>
                <w:sz w:val="20"/>
                <w:szCs w:val="20"/>
              </w:rPr>
              <w:t xml:space="preserve">Due to the long maturities associated to these projects, capacity resulting from projects financed </w:t>
            </w:r>
            <w:r>
              <w:rPr>
                <w:sz w:val="20"/>
                <w:szCs w:val="20"/>
              </w:rPr>
              <w:t>from early exploration</w:t>
            </w:r>
            <w:r w:rsidRPr="00F54C08">
              <w:rPr>
                <w:sz w:val="20"/>
                <w:szCs w:val="20"/>
              </w:rPr>
              <w:t xml:space="preserve"> </w:t>
            </w:r>
            <w:r>
              <w:rPr>
                <w:sz w:val="20"/>
                <w:szCs w:val="20"/>
              </w:rPr>
              <w:t>may not be installed until past the timeframe of monitoring (see target 2024)</w:t>
            </w:r>
            <w:r w:rsidRPr="00F54C08">
              <w:rPr>
                <w:sz w:val="20"/>
                <w:szCs w:val="20"/>
              </w:rPr>
              <w:t>.</w:t>
            </w:r>
          </w:p>
          <w:p w:rsidR="006E6916" w:rsidRDefault="006E6916" w:rsidP="006E6916">
            <w:pPr>
              <w:spacing w:before="60" w:after="60"/>
              <w:rPr>
                <w:sz w:val="20"/>
                <w:szCs w:val="20"/>
              </w:rPr>
            </w:pPr>
            <w:r w:rsidRPr="00F54C08">
              <w:rPr>
                <w:sz w:val="20"/>
                <w:szCs w:val="20"/>
              </w:rPr>
              <w:t>Source:  Program report from NAFIN.</w:t>
            </w:r>
          </w:p>
        </w:tc>
      </w:tr>
      <w:tr w:rsidR="006E6916" w:rsidRPr="00951BEE" w:rsidTr="00B97526">
        <w:trPr>
          <w:cantSplit/>
        </w:trPr>
        <w:tc>
          <w:tcPr>
            <w:tcW w:w="2268" w:type="dxa"/>
            <w:tcBorders>
              <w:bottom w:val="single" w:sz="4" w:space="0" w:color="auto"/>
            </w:tcBorders>
            <w:vAlign w:val="center"/>
          </w:tcPr>
          <w:p w:rsidR="006E6916" w:rsidRPr="000F102A" w:rsidRDefault="006E6916" w:rsidP="006E6916">
            <w:pPr>
              <w:spacing w:before="60" w:after="60"/>
              <w:rPr>
                <w:sz w:val="20"/>
                <w:szCs w:val="20"/>
              </w:rPr>
            </w:pPr>
            <w:r w:rsidRPr="004424E9">
              <w:rPr>
                <w:sz w:val="20"/>
              </w:rPr>
              <w:t>Electricity production from geothermal projects financed at some stage by the program</w:t>
            </w:r>
          </w:p>
        </w:tc>
        <w:tc>
          <w:tcPr>
            <w:tcW w:w="900" w:type="dxa"/>
            <w:tcBorders>
              <w:bottom w:val="single" w:sz="4" w:space="0" w:color="auto"/>
            </w:tcBorders>
            <w:vAlign w:val="center"/>
          </w:tcPr>
          <w:p w:rsidR="006E6916" w:rsidRPr="00F54C08" w:rsidRDefault="006E6916" w:rsidP="006E6916">
            <w:pPr>
              <w:spacing w:before="60" w:after="60"/>
              <w:jc w:val="center"/>
              <w:rPr>
                <w:sz w:val="20"/>
                <w:szCs w:val="20"/>
              </w:rPr>
            </w:pPr>
            <w:proofErr w:type="spellStart"/>
            <w:r w:rsidRPr="00A2454E">
              <w:rPr>
                <w:sz w:val="18"/>
                <w:szCs w:val="20"/>
              </w:rPr>
              <w:t>GWh</w:t>
            </w:r>
            <w:proofErr w:type="spellEnd"/>
            <w:r w:rsidRPr="00A2454E">
              <w:rPr>
                <w:sz w:val="18"/>
                <w:szCs w:val="20"/>
              </w:rPr>
              <w:t>/</w:t>
            </w:r>
            <w:proofErr w:type="spellStart"/>
            <w:r w:rsidRPr="00A2454E">
              <w:rPr>
                <w:sz w:val="18"/>
                <w:szCs w:val="20"/>
              </w:rPr>
              <w:t>yr</w:t>
            </w:r>
            <w:proofErr w:type="spellEnd"/>
          </w:p>
        </w:tc>
        <w:tc>
          <w:tcPr>
            <w:tcW w:w="1710" w:type="dxa"/>
            <w:tcBorders>
              <w:bottom w:val="single" w:sz="4" w:space="0" w:color="auto"/>
            </w:tcBorders>
            <w:vAlign w:val="center"/>
          </w:tcPr>
          <w:p w:rsidR="006E6916" w:rsidRDefault="006E6916" w:rsidP="006E6916">
            <w:pPr>
              <w:spacing w:before="60" w:after="60"/>
              <w:jc w:val="center"/>
              <w:rPr>
                <w:sz w:val="20"/>
                <w:szCs w:val="20"/>
              </w:rPr>
            </w:pPr>
            <w:r>
              <w:rPr>
                <w:sz w:val="20"/>
                <w:szCs w:val="20"/>
              </w:rPr>
              <w:t>Once, at the end of execution period (</w:t>
            </w:r>
            <w:proofErr w:type="spellStart"/>
            <w:r>
              <w:rPr>
                <w:sz w:val="20"/>
                <w:szCs w:val="20"/>
              </w:rPr>
              <w:t>inc.</w:t>
            </w:r>
            <w:proofErr w:type="spellEnd"/>
            <w:r>
              <w:rPr>
                <w:sz w:val="20"/>
                <w:szCs w:val="20"/>
              </w:rPr>
              <w:t xml:space="preserve"> projected value for year 10)</w:t>
            </w:r>
          </w:p>
        </w:tc>
        <w:tc>
          <w:tcPr>
            <w:tcW w:w="5310" w:type="dxa"/>
            <w:tcBorders>
              <w:bottom w:val="single" w:sz="4" w:space="0" w:color="auto"/>
            </w:tcBorders>
            <w:vAlign w:val="center"/>
          </w:tcPr>
          <w:p w:rsidR="006E6916" w:rsidRDefault="006E6916" w:rsidP="006E6916">
            <w:pPr>
              <w:spacing w:before="60" w:after="60"/>
              <w:rPr>
                <w:sz w:val="20"/>
                <w:szCs w:val="20"/>
              </w:rPr>
            </w:pPr>
            <w:r w:rsidRPr="00F54C08">
              <w:rPr>
                <w:sz w:val="20"/>
                <w:szCs w:val="20"/>
              </w:rPr>
              <w:t>Source:  Program report from NAFIN</w:t>
            </w:r>
            <w:r>
              <w:rPr>
                <w:sz w:val="20"/>
                <w:szCs w:val="20"/>
              </w:rPr>
              <w:t>.</w:t>
            </w:r>
          </w:p>
          <w:p w:rsidR="006E6916" w:rsidRDefault="006E6916" w:rsidP="006E6916">
            <w:pPr>
              <w:spacing w:before="60" w:after="60"/>
              <w:rPr>
                <w:sz w:val="20"/>
                <w:szCs w:val="20"/>
              </w:rPr>
            </w:pPr>
            <w:r w:rsidRPr="00A2454E">
              <w:rPr>
                <w:sz w:val="20"/>
                <w:szCs w:val="20"/>
              </w:rPr>
              <w:t>Estimations based on the</w:t>
            </w:r>
            <w:r>
              <w:rPr>
                <w:sz w:val="20"/>
                <w:szCs w:val="20"/>
              </w:rPr>
              <w:t xml:space="preserve"> expected capacity installed, an</w:t>
            </w:r>
            <w:r w:rsidRPr="00A2454E">
              <w:rPr>
                <w:sz w:val="20"/>
                <w:szCs w:val="20"/>
              </w:rPr>
              <w:t xml:space="preserve"> average production factor in Mexico</w:t>
            </w:r>
            <w:r>
              <w:rPr>
                <w:sz w:val="20"/>
                <w:szCs w:val="20"/>
              </w:rPr>
              <w:t>, 24 hours/day, 365 days/yr</w:t>
            </w:r>
            <w:r w:rsidRPr="00A2454E">
              <w:rPr>
                <w:sz w:val="20"/>
                <w:szCs w:val="20"/>
              </w:rPr>
              <w:t>.</w:t>
            </w:r>
          </w:p>
        </w:tc>
      </w:tr>
      <w:tr w:rsidR="006E6916" w:rsidRPr="00951BEE" w:rsidTr="00B97526">
        <w:trPr>
          <w:cantSplit/>
        </w:trPr>
        <w:tc>
          <w:tcPr>
            <w:tcW w:w="2268" w:type="dxa"/>
            <w:tcBorders>
              <w:bottom w:val="single" w:sz="4" w:space="0" w:color="auto"/>
            </w:tcBorders>
            <w:vAlign w:val="center"/>
          </w:tcPr>
          <w:p w:rsidR="006E6916" w:rsidRPr="000F102A" w:rsidRDefault="006E6916" w:rsidP="006E6916">
            <w:pPr>
              <w:spacing w:before="60" w:after="60"/>
              <w:rPr>
                <w:sz w:val="20"/>
                <w:szCs w:val="20"/>
              </w:rPr>
            </w:pPr>
            <w:r w:rsidRPr="004424E9">
              <w:rPr>
                <w:sz w:val="20"/>
              </w:rPr>
              <w:t>Greenhouse gas (GHG) emissions avoided by geothermal projects financed at some stage by the program</w:t>
            </w:r>
          </w:p>
        </w:tc>
        <w:tc>
          <w:tcPr>
            <w:tcW w:w="900" w:type="dxa"/>
            <w:tcBorders>
              <w:bottom w:val="single" w:sz="4" w:space="0" w:color="auto"/>
            </w:tcBorders>
            <w:vAlign w:val="center"/>
          </w:tcPr>
          <w:p w:rsidR="006E6916" w:rsidRPr="00F54C08" w:rsidRDefault="006E6916" w:rsidP="006E6916">
            <w:pPr>
              <w:spacing w:before="60" w:after="60"/>
              <w:rPr>
                <w:sz w:val="20"/>
                <w:szCs w:val="20"/>
              </w:rPr>
            </w:pPr>
            <w:r>
              <w:rPr>
                <w:sz w:val="20"/>
                <w:szCs w:val="20"/>
              </w:rPr>
              <w:t>M</w:t>
            </w:r>
            <w:r w:rsidRPr="00F54C08">
              <w:rPr>
                <w:sz w:val="20"/>
                <w:szCs w:val="20"/>
              </w:rPr>
              <w:t>tCO</w:t>
            </w:r>
            <w:r w:rsidRPr="00F54C08">
              <w:rPr>
                <w:sz w:val="20"/>
                <w:szCs w:val="20"/>
                <w:vertAlign w:val="subscript"/>
              </w:rPr>
              <w:t>2</w:t>
            </w:r>
            <w:r w:rsidRPr="00F54C08">
              <w:rPr>
                <w:sz w:val="20"/>
                <w:szCs w:val="20"/>
              </w:rPr>
              <w:t>e/</w:t>
            </w:r>
            <w:proofErr w:type="spellStart"/>
            <w:r w:rsidRPr="00F54C08">
              <w:rPr>
                <w:sz w:val="20"/>
                <w:szCs w:val="20"/>
              </w:rPr>
              <w:t>yr</w:t>
            </w:r>
            <w:proofErr w:type="spellEnd"/>
          </w:p>
          <w:p w:rsidR="006E6916" w:rsidRPr="00F54C08" w:rsidRDefault="006E6916" w:rsidP="006E6916">
            <w:pPr>
              <w:spacing w:before="60" w:after="60"/>
              <w:jc w:val="center"/>
              <w:rPr>
                <w:sz w:val="20"/>
                <w:szCs w:val="20"/>
              </w:rPr>
            </w:pPr>
          </w:p>
        </w:tc>
        <w:tc>
          <w:tcPr>
            <w:tcW w:w="1710" w:type="dxa"/>
            <w:tcBorders>
              <w:bottom w:val="single" w:sz="4" w:space="0" w:color="auto"/>
            </w:tcBorders>
            <w:vAlign w:val="center"/>
          </w:tcPr>
          <w:p w:rsidR="006E6916" w:rsidRDefault="006E6916" w:rsidP="006E6916">
            <w:pPr>
              <w:spacing w:before="60" w:after="60"/>
              <w:jc w:val="center"/>
              <w:rPr>
                <w:sz w:val="20"/>
                <w:szCs w:val="20"/>
              </w:rPr>
            </w:pPr>
            <w:r>
              <w:rPr>
                <w:sz w:val="20"/>
                <w:szCs w:val="20"/>
              </w:rPr>
              <w:t>Once, at the end of execution period (</w:t>
            </w:r>
            <w:proofErr w:type="spellStart"/>
            <w:r>
              <w:rPr>
                <w:sz w:val="20"/>
                <w:szCs w:val="20"/>
              </w:rPr>
              <w:t>inc.</w:t>
            </w:r>
            <w:proofErr w:type="spellEnd"/>
            <w:r>
              <w:rPr>
                <w:sz w:val="20"/>
                <w:szCs w:val="20"/>
              </w:rPr>
              <w:t xml:space="preserve"> projected value for year 10)</w:t>
            </w:r>
          </w:p>
        </w:tc>
        <w:tc>
          <w:tcPr>
            <w:tcW w:w="5310" w:type="dxa"/>
            <w:tcBorders>
              <w:bottom w:val="single" w:sz="4" w:space="0" w:color="auto"/>
            </w:tcBorders>
            <w:vAlign w:val="center"/>
          </w:tcPr>
          <w:p w:rsidR="006E6916" w:rsidRPr="00F54C08" w:rsidRDefault="006E6916" w:rsidP="006E6916">
            <w:pPr>
              <w:spacing w:before="60" w:after="60"/>
              <w:rPr>
                <w:sz w:val="20"/>
                <w:szCs w:val="20"/>
              </w:rPr>
            </w:pPr>
            <w:r w:rsidRPr="00F54C08">
              <w:rPr>
                <w:sz w:val="20"/>
                <w:szCs w:val="20"/>
              </w:rPr>
              <w:t>Tons of GHG emissions that will be reduced or avoided once the plants financed by the program are commissioned</w:t>
            </w:r>
            <w:r>
              <w:rPr>
                <w:sz w:val="20"/>
                <w:szCs w:val="20"/>
              </w:rPr>
              <w:t>.</w:t>
            </w:r>
          </w:p>
          <w:p w:rsidR="006E6916" w:rsidRPr="00F54C08" w:rsidRDefault="006E6916" w:rsidP="006E6916">
            <w:pPr>
              <w:spacing w:before="60" w:after="60"/>
              <w:rPr>
                <w:sz w:val="20"/>
                <w:szCs w:val="20"/>
              </w:rPr>
            </w:pPr>
            <w:r>
              <w:rPr>
                <w:sz w:val="20"/>
                <w:szCs w:val="20"/>
              </w:rPr>
              <w:t>Source: IDB e</w:t>
            </w:r>
            <w:r w:rsidRPr="00F54C08">
              <w:rPr>
                <w:sz w:val="20"/>
                <w:szCs w:val="20"/>
              </w:rPr>
              <w:t xml:space="preserve">stimations made following IDB methodology, based on installed capacity (see indicator above), envisaged production, and </w:t>
            </w:r>
            <w:r>
              <w:rPr>
                <w:sz w:val="20"/>
                <w:szCs w:val="20"/>
              </w:rPr>
              <w:t xml:space="preserve">a 0.5 </w:t>
            </w:r>
            <w:r w:rsidRPr="00F54C08">
              <w:rPr>
                <w:sz w:val="20"/>
                <w:szCs w:val="20"/>
              </w:rPr>
              <w:t>average conversion factor for electricity generation in Mexico.</w:t>
            </w:r>
          </w:p>
          <w:p w:rsidR="006E6916" w:rsidRDefault="006E6916" w:rsidP="006E6916">
            <w:pPr>
              <w:spacing w:before="60" w:after="60"/>
              <w:rPr>
                <w:sz w:val="20"/>
                <w:szCs w:val="20"/>
              </w:rPr>
            </w:pPr>
            <w:r>
              <w:rPr>
                <w:sz w:val="20"/>
                <w:szCs w:val="20"/>
              </w:rPr>
              <w:t>M</w:t>
            </w:r>
            <w:r w:rsidRPr="00F54C08">
              <w:rPr>
                <w:sz w:val="20"/>
                <w:szCs w:val="20"/>
              </w:rPr>
              <w:t>tCO</w:t>
            </w:r>
            <w:r w:rsidRPr="00F54C08">
              <w:rPr>
                <w:sz w:val="20"/>
                <w:szCs w:val="20"/>
                <w:vertAlign w:val="subscript"/>
              </w:rPr>
              <w:t>2</w:t>
            </w:r>
            <w:r w:rsidRPr="00F54C08">
              <w:rPr>
                <w:sz w:val="20"/>
                <w:szCs w:val="20"/>
              </w:rPr>
              <w:t xml:space="preserve">e = </w:t>
            </w:r>
            <w:r>
              <w:rPr>
                <w:sz w:val="20"/>
                <w:szCs w:val="20"/>
              </w:rPr>
              <w:t xml:space="preserve">Millions of </w:t>
            </w:r>
            <w:r w:rsidRPr="00F54C08">
              <w:rPr>
                <w:sz w:val="20"/>
                <w:szCs w:val="20"/>
              </w:rPr>
              <w:t>tons of CO</w:t>
            </w:r>
            <w:r w:rsidRPr="00F54C08">
              <w:rPr>
                <w:sz w:val="20"/>
                <w:szCs w:val="20"/>
                <w:vertAlign w:val="subscript"/>
              </w:rPr>
              <w:t>2</w:t>
            </w:r>
            <w:r w:rsidRPr="00F54C08">
              <w:rPr>
                <w:sz w:val="20"/>
                <w:szCs w:val="20"/>
              </w:rPr>
              <w:t xml:space="preserve"> equivalent</w:t>
            </w:r>
          </w:p>
        </w:tc>
      </w:tr>
      <w:tr w:rsidR="006E6916" w:rsidRPr="00951BEE" w:rsidTr="00B97526">
        <w:trPr>
          <w:cantSplit/>
        </w:trPr>
        <w:tc>
          <w:tcPr>
            <w:tcW w:w="2268" w:type="dxa"/>
            <w:tcBorders>
              <w:bottom w:val="single" w:sz="4" w:space="0" w:color="auto"/>
            </w:tcBorders>
            <w:vAlign w:val="center"/>
          </w:tcPr>
          <w:p w:rsidR="006E6916" w:rsidRPr="000F102A" w:rsidRDefault="006E6916" w:rsidP="006E6916">
            <w:pPr>
              <w:spacing w:before="60" w:after="60"/>
              <w:rPr>
                <w:sz w:val="20"/>
                <w:szCs w:val="20"/>
              </w:rPr>
            </w:pPr>
            <w:r w:rsidRPr="004424E9">
              <w:rPr>
                <w:sz w:val="20"/>
              </w:rPr>
              <w:t>Additional financing from third parties mobilized to complete geothermal projects financed at some stage by the program</w:t>
            </w:r>
          </w:p>
        </w:tc>
        <w:tc>
          <w:tcPr>
            <w:tcW w:w="900" w:type="dxa"/>
            <w:tcBorders>
              <w:bottom w:val="single" w:sz="4" w:space="0" w:color="auto"/>
            </w:tcBorders>
            <w:vAlign w:val="center"/>
          </w:tcPr>
          <w:p w:rsidR="006E6916" w:rsidRPr="00F54C08" w:rsidRDefault="006E6916" w:rsidP="006E6916">
            <w:pPr>
              <w:spacing w:before="60" w:after="60"/>
              <w:jc w:val="center"/>
              <w:rPr>
                <w:sz w:val="20"/>
                <w:szCs w:val="20"/>
              </w:rPr>
            </w:pPr>
            <w:r w:rsidRPr="00F54C08">
              <w:rPr>
                <w:sz w:val="20"/>
                <w:szCs w:val="20"/>
              </w:rPr>
              <w:t>Millions of USD</w:t>
            </w:r>
          </w:p>
        </w:tc>
        <w:tc>
          <w:tcPr>
            <w:tcW w:w="1710" w:type="dxa"/>
            <w:tcBorders>
              <w:bottom w:val="single" w:sz="4" w:space="0" w:color="auto"/>
            </w:tcBorders>
            <w:vAlign w:val="center"/>
          </w:tcPr>
          <w:p w:rsidR="006E6916" w:rsidRDefault="006E6916" w:rsidP="006E6916">
            <w:pPr>
              <w:spacing w:before="60" w:after="60"/>
              <w:jc w:val="center"/>
              <w:rPr>
                <w:sz w:val="20"/>
                <w:szCs w:val="20"/>
              </w:rPr>
            </w:pPr>
            <w:r>
              <w:rPr>
                <w:sz w:val="18"/>
                <w:szCs w:val="20"/>
              </w:rPr>
              <w:t>Annual</w:t>
            </w:r>
          </w:p>
        </w:tc>
        <w:tc>
          <w:tcPr>
            <w:tcW w:w="5310" w:type="dxa"/>
            <w:tcBorders>
              <w:bottom w:val="single" w:sz="4" w:space="0" w:color="auto"/>
            </w:tcBorders>
            <w:vAlign w:val="center"/>
          </w:tcPr>
          <w:p w:rsidR="006E6916" w:rsidRPr="00F54C08" w:rsidRDefault="006E6916" w:rsidP="006E6916">
            <w:pPr>
              <w:spacing w:before="60" w:after="60"/>
              <w:rPr>
                <w:sz w:val="20"/>
                <w:szCs w:val="20"/>
              </w:rPr>
            </w:pPr>
            <w:r w:rsidRPr="00F54C08">
              <w:rPr>
                <w:sz w:val="20"/>
                <w:szCs w:val="20"/>
              </w:rPr>
              <w:t xml:space="preserve">Volume of </w:t>
            </w:r>
            <w:r>
              <w:rPr>
                <w:sz w:val="20"/>
                <w:szCs w:val="20"/>
              </w:rPr>
              <w:t xml:space="preserve">third-party </w:t>
            </w:r>
            <w:r w:rsidRPr="00F54C08">
              <w:rPr>
                <w:sz w:val="20"/>
                <w:szCs w:val="20"/>
              </w:rPr>
              <w:t>direct finance leveraged by the program</w:t>
            </w:r>
            <w:r>
              <w:rPr>
                <w:sz w:val="20"/>
                <w:szCs w:val="20"/>
              </w:rPr>
              <w:t xml:space="preserve"> for projects supported</w:t>
            </w:r>
            <w:r w:rsidRPr="00F54C08">
              <w:rPr>
                <w:sz w:val="20"/>
                <w:szCs w:val="20"/>
              </w:rPr>
              <w:t>. Includes all financing from sources other than the IDB/CTF funding (government, NAFIN and other financial institutions). Does not include capital</w:t>
            </w:r>
            <w:r>
              <w:rPr>
                <w:sz w:val="20"/>
                <w:szCs w:val="20"/>
              </w:rPr>
              <w:t>.</w:t>
            </w:r>
          </w:p>
          <w:p w:rsidR="006E6916" w:rsidRDefault="006E6916" w:rsidP="006E6916">
            <w:pPr>
              <w:spacing w:before="60" w:after="60"/>
              <w:rPr>
                <w:sz w:val="20"/>
                <w:szCs w:val="20"/>
              </w:rPr>
            </w:pPr>
            <w:r w:rsidRPr="00F54C08">
              <w:rPr>
                <w:sz w:val="20"/>
                <w:szCs w:val="20"/>
              </w:rPr>
              <w:t>Source:  Program report from NAFIN.</w:t>
            </w:r>
          </w:p>
          <w:p w:rsidR="006E6916" w:rsidRDefault="006E6916" w:rsidP="006E6916">
            <w:pPr>
              <w:spacing w:before="60" w:after="60"/>
              <w:rPr>
                <w:sz w:val="20"/>
                <w:szCs w:val="20"/>
              </w:rPr>
            </w:pPr>
            <w:r w:rsidRPr="00F54C08">
              <w:rPr>
                <w:sz w:val="20"/>
                <w:szCs w:val="20"/>
              </w:rPr>
              <w:t xml:space="preserve">Estimations based on a 70:30 debt to equity ratio, investment costs of </w:t>
            </w:r>
            <w:r>
              <w:rPr>
                <w:sz w:val="20"/>
                <w:szCs w:val="20"/>
              </w:rPr>
              <w:t xml:space="preserve">US$5 million per well and </w:t>
            </w:r>
            <w:r w:rsidRPr="00F54C08">
              <w:rPr>
                <w:sz w:val="20"/>
                <w:szCs w:val="20"/>
              </w:rPr>
              <w:t>US$</w:t>
            </w:r>
            <w:r w:rsidR="0009138A">
              <w:rPr>
                <w:sz w:val="20"/>
                <w:szCs w:val="20"/>
              </w:rPr>
              <w:t xml:space="preserve">2 to </w:t>
            </w:r>
            <w:r w:rsidRPr="00F54C08">
              <w:rPr>
                <w:sz w:val="20"/>
                <w:szCs w:val="20"/>
              </w:rPr>
              <w:t xml:space="preserve">4 million per MW installed. </w:t>
            </w:r>
          </w:p>
        </w:tc>
      </w:tr>
    </w:tbl>
    <w:p w:rsidR="00DA6F08" w:rsidRDefault="00813D35" w:rsidP="00AD6F11">
      <w:pPr>
        <w:pStyle w:val="AutoNumpara"/>
        <w:rPr>
          <w:lang w:val="en-US"/>
        </w:rPr>
      </w:pPr>
      <w:r w:rsidRPr="004424E9">
        <w:rPr>
          <w:lang w:val="en-US"/>
        </w:rPr>
        <w:t xml:space="preserve">It should be noted that projects funded by the program may have environmental and social </w:t>
      </w:r>
      <w:r w:rsidR="00DA6F08" w:rsidRPr="004424E9">
        <w:rPr>
          <w:lang w:val="en-US"/>
        </w:rPr>
        <w:t>impacts</w:t>
      </w:r>
      <w:r w:rsidRPr="004424E9">
        <w:rPr>
          <w:lang w:val="en-US"/>
        </w:rPr>
        <w:t xml:space="preserve"> that require an effective evaluation system for proper mitigation and management</w:t>
      </w:r>
      <w:r w:rsidR="00AF76D2" w:rsidRPr="004424E9">
        <w:rPr>
          <w:lang w:val="en-US"/>
        </w:rPr>
        <w:t xml:space="preserve">. To mitigate these risks, </w:t>
      </w:r>
      <w:r w:rsidR="00DA6F08" w:rsidRPr="00DA6F08">
        <w:rPr>
          <w:lang w:val="en-US"/>
        </w:rPr>
        <w:t xml:space="preserve">the IDB will define an Environmental and Social Management System (ESMS), integral to the OR, that will enable the identification of potential impacts and risks and ensure that the beneficiaries of the financing will implement environmental and social assessment, prevention, mitigation and management measures consistent with IDB safeguard policies (see </w:t>
      </w:r>
      <w:hyperlink r:id="rId9" w:history="1">
        <w:r w:rsidR="00DA6F08" w:rsidRPr="00DA6F08">
          <w:rPr>
            <w:rStyle w:val="Hyperlink"/>
            <w:lang w:val="en-US"/>
          </w:rPr>
          <w:t>Environmenta</w:t>
        </w:r>
        <w:r w:rsidR="00DA6F08" w:rsidRPr="00294BA4">
          <w:rPr>
            <w:rStyle w:val="Hyperlink"/>
            <w:lang w:val="en-US"/>
          </w:rPr>
          <w:t>l and Social Management Report</w:t>
        </w:r>
      </w:hyperlink>
      <w:r w:rsidR="00DA6F08" w:rsidRPr="00DA6F08">
        <w:rPr>
          <w:lang w:val="en-US"/>
        </w:rPr>
        <w:t>, ESMR).</w:t>
      </w:r>
      <w:r w:rsidR="00DA6F08" w:rsidRPr="00294BA4">
        <w:rPr>
          <w:lang w:val="en-US"/>
        </w:rPr>
        <w:t xml:space="preserve"> The ESMS will integrate all applicable Mexican norms. The loan agreement will include the following environmental and social requirements and the respective enabling, reporting and monitoring conditions: (i) NAFIN and the Bank will agree on an ESMS as fur</w:t>
      </w:r>
      <w:r w:rsidR="00DA6F08" w:rsidRPr="00DA6F08">
        <w:rPr>
          <w:lang w:val="en-US"/>
        </w:rPr>
        <w:t xml:space="preserve">ther detailed in the ESMR to be included in the OR ; (ii) NAFIN will coordinate with SENER, the CFE and other pertinent agencies to facilitate the implementation of the ESMS; (iii) NAFIN will obtain the Bank’s non-objection to the categorization of each project and to the final approval and E&amp;S management plans of all category A and High Risk Category B projects (including review of independent experts as required by the Bank) and will ensure that all projects financed by the program are implemented in full compliance with the requirements of the ESMS and; (iv) NAFIN will supervise the environmental and social performance of each project, provide the Bank with all pertinent reports and notifications and, in case of non-compliance, engage with beneficiaries to ensure that a corrective action plan is developed and implemented to the satisfaction of NAFIN and the IDB. </w:t>
      </w:r>
      <w:r w:rsidR="004C720B" w:rsidRPr="004424E9">
        <w:rPr>
          <w:lang w:val="en-US"/>
        </w:rPr>
        <w:t xml:space="preserve">The framework </w:t>
      </w:r>
      <w:r w:rsidR="00DA6F08" w:rsidRPr="004424E9">
        <w:rPr>
          <w:lang w:val="en-US"/>
        </w:rPr>
        <w:t xml:space="preserve">also </w:t>
      </w:r>
      <w:r w:rsidR="004C720B" w:rsidRPr="004424E9">
        <w:rPr>
          <w:lang w:val="en-US"/>
        </w:rPr>
        <w:t xml:space="preserve">includes </w:t>
      </w:r>
      <w:r w:rsidR="007B5D7C" w:rsidRPr="004424E9">
        <w:rPr>
          <w:lang w:val="en-US"/>
        </w:rPr>
        <w:t xml:space="preserve"> </w:t>
      </w:r>
      <w:r w:rsidR="00DA6F08" w:rsidRPr="004424E9">
        <w:rPr>
          <w:lang w:val="en-US"/>
        </w:rPr>
        <w:t xml:space="preserve">guidelines for a </w:t>
      </w:r>
      <w:r w:rsidR="004C720B" w:rsidRPr="004424E9">
        <w:rPr>
          <w:lang w:val="en-US"/>
        </w:rPr>
        <w:t xml:space="preserve">consultation process that incorporate </w:t>
      </w:r>
      <w:r w:rsidR="007B5D7C" w:rsidRPr="004424E9">
        <w:rPr>
          <w:lang w:val="en-US"/>
        </w:rPr>
        <w:t>gender considerations</w:t>
      </w:r>
      <w:r w:rsidR="004C720B" w:rsidRPr="004424E9">
        <w:rPr>
          <w:lang w:val="en-US"/>
        </w:rPr>
        <w:t>, as per IDB’s policy on gender equality in development</w:t>
      </w:r>
      <w:r w:rsidR="00DA6F08" w:rsidRPr="00DA6F08">
        <w:rPr>
          <w:lang w:val="en-US"/>
        </w:rPr>
        <w:t>.</w:t>
      </w:r>
    </w:p>
    <w:p w:rsidR="00937D90" w:rsidRPr="004424E9" w:rsidRDefault="001A7E25" w:rsidP="004424E9">
      <w:pPr>
        <w:pStyle w:val="ListParagraph"/>
        <w:numPr>
          <w:ilvl w:val="1"/>
          <w:numId w:val="24"/>
        </w:numPr>
        <w:ind w:left="450"/>
        <w:outlineLvl w:val="0"/>
        <w:rPr>
          <w:rFonts w:ascii="Times New Roman Bold" w:hAnsi="Times New Roman Bold" w:cs="Times New Roman"/>
          <w:b/>
          <w:smallCaps/>
          <w:noProof/>
          <w:sz w:val="28"/>
          <w:szCs w:val="28"/>
        </w:rPr>
      </w:pPr>
      <w:bookmarkStart w:id="16" w:name="_Toc375150058"/>
      <w:r w:rsidRPr="004424E9">
        <w:rPr>
          <w:rFonts w:ascii="Times New Roman Bold" w:hAnsi="Times New Roman Bold" w:cs="Times New Roman"/>
          <w:b/>
          <w:smallCaps/>
          <w:noProof/>
          <w:sz w:val="28"/>
          <w:szCs w:val="28"/>
        </w:rPr>
        <w:t>Data Collection and Instruments</w:t>
      </w:r>
      <w:bookmarkEnd w:id="16"/>
    </w:p>
    <w:p w:rsidR="00937D90" w:rsidRPr="00AA642A" w:rsidRDefault="00AA642A" w:rsidP="00AA642A">
      <w:pPr>
        <w:pStyle w:val="AutoNumpara"/>
        <w:rPr>
          <w:lang w:val="en-US"/>
        </w:rPr>
      </w:pPr>
      <w:r>
        <w:rPr>
          <w:lang w:val="en-US"/>
        </w:rPr>
        <w:t>NAFIN</w:t>
      </w:r>
      <w:r w:rsidR="00937D90" w:rsidRPr="00A12866">
        <w:rPr>
          <w:lang w:val="en-US"/>
        </w:rPr>
        <w:t xml:space="preserve"> will </w:t>
      </w:r>
      <w:r w:rsidR="00937D90" w:rsidRPr="003F44DC">
        <w:rPr>
          <w:lang w:val="en-US"/>
        </w:rPr>
        <w:t xml:space="preserve">collect the necessary data </w:t>
      </w:r>
      <w:r w:rsidR="00294BA4" w:rsidRPr="004424E9">
        <w:rPr>
          <w:lang w:val="en-US"/>
        </w:rPr>
        <w:t xml:space="preserve">for monitoring </w:t>
      </w:r>
      <w:r w:rsidR="00937D90" w:rsidRPr="003F44DC">
        <w:rPr>
          <w:lang w:val="en-US"/>
        </w:rPr>
        <w:t>and present annual reports to the IDB.</w:t>
      </w:r>
      <w:r w:rsidR="00294BA4" w:rsidRPr="004424E9">
        <w:rPr>
          <w:lang w:val="en-US"/>
        </w:rPr>
        <w:t xml:space="preserve"> In some cases, the IDB will make calculations required for some indicators, based on the information provided by NAFIN in the annual reports.</w:t>
      </w:r>
      <w:r w:rsidR="007B5D7C" w:rsidRPr="003F44DC">
        <w:rPr>
          <w:lang w:val="en-US"/>
        </w:rPr>
        <w:t xml:space="preserve"> The IDB must report annuall</w:t>
      </w:r>
      <w:r w:rsidR="00294BA4" w:rsidRPr="004424E9">
        <w:rPr>
          <w:lang w:val="en-US"/>
        </w:rPr>
        <w:t>y</w:t>
      </w:r>
      <w:r w:rsidR="007B5D7C" w:rsidRPr="003F44DC">
        <w:rPr>
          <w:lang w:val="en-US"/>
        </w:rPr>
        <w:t xml:space="preserve"> to the </w:t>
      </w:r>
      <w:r w:rsidR="00294BA4" w:rsidRPr="004424E9">
        <w:rPr>
          <w:lang w:val="en-US"/>
        </w:rPr>
        <w:t>Clean Technology Fund Trust Fund Committee (</w:t>
      </w:r>
      <w:r w:rsidR="007B5D7C" w:rsidRPr="003F44DC">
        <w:rPr>
          <w:lang w:val="en-US"/>
        </w:rPr>
        <w:t>CTF TFC</w:t>
      </w:r>
      <w:r w:rsidR="00294BA4" w:rsidRPr="004424E9">
        <w:rPr>
          <w:lang w:val="en-US"/>
        </w:rPr>
        <w:t>)</w:t>
      </w:r>
      <w:r w:rsidR="007B5D7C" w:rsidRPr="003F44DC">
        <w:rPr>
          <w:lang w:val="en-US"/>
        </w:rPr>
        <w:t xml:space="preserve"> on results </w:t>
      </w:r>
      <w:r w:rsidR="00DF7E96" w:rsidRPr="004424E9">
        <w:rPr>
          <w:lang w:val="en-US"/>
        </w:rPr>
        <w:t>or</w:t>
      </w:r>
      <w:r w:rsidR="007B5D7C" w:rsidRPr="003F44DC">
        <w:rPr>
          <w:lang w:val="en-US"/>
        </w:rPr>
        <w:t xml:space="preserve"> estimations</w:t>
      </w:r>
      <w:r w:rsidR="00294BA4" w:rsidRPr="004424E9">
        <w:rPr>
          <w:lang w:val="en-US"/>
        </w:rPr>
        <w:t>/projections</w:t>
      </w:r>
      <w:r w:rsidR="007B5D7C" w:rsidRPr="003F44DC">
        <w:rPr>
          <w:lang w:val="en-US"/>
        </w:rPr>
        <w:t xml:space="preserve"> of</w:t>
      </w:r>
      <w:r w:rsidR="00DF7E96" w:rsidRPr="004424E9">
        <w:rPr>
          <w:lang w:val="en-US"/>
        </w:rPr>
        <w:t xml:space="preserve"> </w:t>
      </w:r>
      <w:r w:rsidR="007B5D7C" w:rsidRPr="003F44DC">
        <w:rPr>
          <w:lang w:val="en-US"/>
        </w:rPr>
        <w:t>results</w:t>
      </w:r>
      <w:r w:rsidR="00DF7E96">
        <w:rPr>
          <w:lang w:val="en-US"/>
        </w:rPr>
        <w:t xml:space="preserve"> (in case of plants in state of construction and non operational as of reporting date</w:t>
      </w:r>
      <w:r w:rsidR="00294BA4">
        <w:rPr>
          <w:lang w:val="en-US"/>
        </w:rPr>
        <w:t>)</w:t>
      </w:r>
      <w:r w:rsidR="007B5D7C">
        <w:rPr>
          <w:lang w:val="en-US"/>
        </w:rPr>
        <w:t xml:space="preserve">. </w:t>
      </w:r>
      <w:r w:rsidRPr="00AA642A">
        <w:rPr>
          <w:lang w:val="en-US"/>
        </w:rPr>
        <w:t xml:space="preserve">Table </w:t>
      </w:r>
      <w:r w:rsidR="008A7D44">
        <w:rPr>
          <w:lang w:val="en-US"/>
        </w:rPr>
        <w:t>2.</w:t>
      </w:r>
      <w:r w:rsidRPr="00AA642A">
        <w:rPr>
          <w:lang w:val="en-US"/>
        </w:rPr>
        <w:t xml:space="preserve">1 presents the main indicators to be monitored </w:t>
      </w:r>
      <w:r w:rsidR="00294BA4">
        <w:rPr>
          <w:lang w:val="en-US"/>
        </w:rPr>
        <w:t>during the execution period of the operation</w:t>
      </w:r>
      <w:r w:rsidRPr="00AA642A">
        <w:rPr>
          <w:lang w:val="en-US"/>
        </w:rPr>
        <w:t>, the methodol</w:t>
      </w:r>
      <w:r w:rsidR="00495148">
        <w:rPr>
          <w:lang w:val="en-US"/>
        </w:rPr>
        <w:t>og</w:t>
      </w:r>
      <w:r w:rsidRPr="00AA642A">
        <w:rPr>
          <w:lang w:val="en-US"/>
        </w:rPr>
        <w:t xml:space="preserve">y to be used, source of information, and responsible of data gathering. </w:t>
      </w:r>
    </w:p>
    <w:p w:rsidR="00362300" w:rsidRPr="003A2AFC" w:rsidRDefault="00362300" w:rsidP="003A2AFC">
      <w:pPr>
        <w:pStyle w:val="AutoNumpara"/>
        <w:rPr>
          <w:lang w:val="en-US"/>
        </w:rPr>
      </w:pPr>
      <w:r w:rsidRPr="003A2AFC">
        <w:rPr>
          <w:szCs w:val="24"/>
          <w:lang w:val="en-US"/>
        </w:rPr>
        <w:t>From the Bank’s side</w:t>
      </w:r>
      <w:r w:rsidR="00294BA4">
        <w:rPr>
          <w:szCs w:val="24"/>
          <w:lang w:val="en-US"/>
        </w:rPr>
        <w:t>,</w:t>
      </w:r>
      <w:r w:rsidRPr="003A2AFC">
        <w:rPr>
          <w:szCs w:val="24"/>
          <w:lang w:val="en-US"/>
        </w:rPr>
        <w:t xml:space="preserve"> the project team composed by speci</w:t>
      </w:r>
      <w:r w:rsidR="003A2AFC">
        <w:rPr>
          <w:szCs w:val="24"/>
          <w:lang w:val="en-US"/>
        </w:rPr>
        <w:t>alists from IFD/CMF, INE/CCS</w:t>
      </w:r>
      <w:r w:rsidRPr="003A2AFC">
        <w:rPr>
          <w:szCs w:val="24"/>
          <w:lang w:val="en-US"/>
        </w:rPr>
        <w:t xml:space="preserve"> and INE/ENE, with support </w:t>
      </w:r>
      <w:r w:rsidR="00294BA4">
        <w:rPr>
          <w:szCs w:val="24"/>
          <w:lang w:val="en-US"/>
        </w:rPr>
        <w:t xml:space="preserve">from </w:t>
      </w:r>
      <w:r w:rsidR="00CD740B">
        <w:rPr>
          <w:szCs w:val="24"/>
          <w:lang w:val="en-US"/>
        </w:rPr>
        <w:t xml:space="preserve">the country office in Mexico, </w:t>
      </w:r>
      <w:r w:rsidRPr="003A2AFC">
        <w:rPr>
          <w:szCs w:val="24"/>
          <w:lang w:val="en-US"/>
        </w:rPr>
        <w:t xml:space="preserve">will be in charge of following up the execution, monitoring and evaluation of the program. The executing agency and the Bank have commited to carry out monitoring meetings according to a regular schedule to be agreed </w:t>
      </w:r>
      <w:r w:rsidR="00294BA4">
        <w:rPr>
          <w:szCs w:val="24"/>
          <w:lang w:val="en-US"/>
        </w:rPr>
        <w:t xml:space="preserve">upon </w:t>
      </w:r>
      <w:r w:rsidRPr="003A2AFC">
        <w:rPr>
          <w:szCs w:val="24"/>
          <w:lang w:val="en-US"/>
        </w:rPr>
        <w:t>between the two parts</w:t>
      </w:r>
      <w:r w:rsidR="00294BA4">
        <w:rPr>
          <w:szCs w:val="24"/>
          <w:lang w:val="en-US"/>
        </w:rPr>
        <w:t xml:space="preserve"> (see Table 2.2 Monitoring Workplan for an indicative schedule)</w:t>
      </w:r>
      <w:r w:rsidRPr="003A2AFC">
        <w:rPr>
          <w:szCs w:val="24"/>
          <w:lang w:val="en-US"/>
        </w:rPr>
        <w:t xml:space="preserve">. </w:t>
      </w:r>
    </w:p>
    <w:p w:rsidR="001A7E25" w:rsidRPr="004424E9" w:rsidRDefault="001A7E25" w:rsidP="004424E9">
      <w:pPr>
        <w:pStyle w:val="ListParagraph"/>
        <w:numPr>
          <w:ilvl w:val="1"/>
          <w:numId w:val="24"/>
        </w:numPr>
        <w:ind w:left="450"/>
        <w:outlineLvl w:val="0"/>
        <w:rPr>
          <w:rFonts w:ascii="Times New Roman Bold" w:hAnsi="Times New Roman Bold" w:cs="Times New Roman"/>
          <w:b/>
          <w:smallCaps/>
          <w:noProof/>
          <w:sz w:val="28"/>
          <w:szCs w:val="28"/>
        </w:rPr>
      </w:pPr>
      <w:bookmarkStart w:id="17" w:name="_Toc375150059"/>
      <w:r w:rsidRPr="004424E9">
        <w:rPr>
          <w:rFonts w:ascii="Times New Roman Bold" w:hAnsi="Times New Roman Bold" w:cs="Times New Roman"/>
          <w:b/>
          <w:smallCaps/>
          <w:noProof/>
          <w:sz w:val="28"/>
          <w:szCs w:val="28"/>
        </w:rPr>
        <w:t>Reporting Monitoring Results</w:t>
      </w:r>
      <w:bookmarkEnd w:id="17"/>
    </w:p>
    <w:p w:rsidR="00937D90" w:rsidRDefault="00DC1359" w:rsidP="00112914">
      <w:pPr>
        <w:pStyle w:val="AutoNumpara"/>
        <w:rPr>
          <w:szCs w:val="24"/>
          <w:lang w:val="en-US"/>
        </w:rPr>
      </w:pPr>
      <w:r w:rsidRPr="00CD740B">
        <w:rPr>
          <w:szCs w:val="24"/>
          <w:lang w:val="en-US"/>
        </w:rPr>
        <w:t xml:space="preserve">The </w:t>
      </w:r>
      <w:r w:rsidR="00294BA4">
        <w:rPr>
          <w:lang w:val="en-US"/>
        </w:rPr>
        <w:t>DOFI</w:t>
      </w:r>
      <w:r w:rsidRPr="00112914">
        <w:rPr>
          <w:szCs w:val="24"/>
          <w:lang w:val="en-US"/>
        </w:rPr>
        <w:t xml:space="preserve">, in </w:t>
      </w:r>
      <w:r w:rsidR="00294BA4">
        <w:rPr>
          <w:szCs w:val="24"/>
          <w:lang w:val="en-US"/>
        </w:rPr>
        <w:t>its</w:t>
      </w:r>
      <w:r w:rsidR="00294BA4" w:rsidRPr="00112914">
        <w:rPr>
          <w:szCs w:val="24"/>
          <w:lang w:val="en-US"/>
        </w:rPr>
        <w:t xml:space="preserve"> </w:t>
      </w:r>
      <w:r w:rsidRPr="00112914">
        <w:rPr>
          <w:szCs w:val="24"/>
          <w:lang w:val="en-US"/>
        </w:rPr>
        <w:t>capacity as Project Coordination Unit, will be the channel of communication and contact with the IDB. In this regard, it shall perform the following activities: (i) coordination and supervision of the activities</w:t>
      </w:r>
      <w:r w:rsidR="00F70863">
        <w:rPr>
          <w:szCs w:val="24"/>
          <w:lang w:val="en-US"/>
        </w:rPr>
        <w:t>,</w:t>
      </w:r>
      <w:r w:rsidRPr="00112914">
        <w:rPr>
          <w:szCs w:val="24"/>
          <w:lang w:val="en-US"/>
        </w:rPr>
        <w:t xml:space="preserve"> (ii) monitoring compliance with contractual commitments, and (iii) coordination of visits and mission supervision. The Direction will be the de facto Project Implementation Unit (PIU).</w:t>
      </w:r>
    </w:p>
    <w:p w:rsidR="00362300" w:rsidRPr="00112914" w:rsidRDefault="00112914" w:rsidP="00112914">
      <w:pPr>
        <w:pStyle w:val="AutoNumpara"/>
        <w:rPr>
          <w:szCs w:val="24"/>
          <w:lang w:val="en-US"/>
        </w:rPr>
      </w:pPr>
      <w:r>
        <w:rPr>
          <w:szCs w:val="24"/>
          <w:lang w:val="en-US"/>
        </w:rPr>
        <w:t>NAFIN</w:t>
      </w:r>
      <w:r w:rsidR="00937D90" w:rsidRPr="00112914">
        <w:rPr>
          <w:szCs w:val="24"/>
          <w:lang w:val="en-US"/>
        </w:rPr>
        <w:t xml:space="preserve"> will report to IDB through annual reports </w:t>
      </w:r>
      <w:r w:rsidR="00294BA4">
        <w:rPr>
          <w:szCs w:val="24"/>
          <w:lang w:val="en-US"/>
        </w:rPr>
        <w:t>including</w:t>
      </w:r>
      <w:r w:rsidR="00294BA4" w:rsidRPr="00112914">
        <w:rPr>
          <w:szCs w:val="24"/>
          <w:lang w:val="en-US"/>
        </w:rPr>
        <w:t xml:space="preserve"> </w:t>
      </w:r>
      <w:r w:rsidR="00937D90" w:rsidRPr="00112914">
        <w:rPr>
          <w:szCs w:val="24"/>
          <w:lang w:val="en-US"/>
        </w:rPr>
        <w:t xml:space="preserve">the defined indicators and </w:t>
      </w:r>
      <w:r w:rsidR="00294BA4">
        <w:rPr>
          <w:szCs w:val="24"/>
          <w:lang w:val="en-US"/>
        </w:rPr>
        <w:t xml:space="preserve">any other relevant information on the </w:t>
      </w:r>
      <w:r w:rsidR="00937D90" w:rsidRPr="00112914">
        <w:rPr>
          <w:szCs w:val="24"/>
          <w:lang w:val="en-US"/>
        </w:rPr>
        <w:t xml:space="preserve">performance of the program. Based on the </w:t>
      </w:r>
      <w:r w:rsidR="00294BA4">
        <w:rPr>
          <w:szCs w:val="24"/>
          <w:lang w:val="en-US"/>
        </w:rPr>
        <w:t>information provided by</w:t>
      </w:r>
      <w:r w:rsidR="00937D90" w:rsidRPr="00112914">
        <w:rPr>
          <w:szCs w:val="24"/>
          <w:lang w:val="en-US"/>
        </w:rPr>
        <w:t xml:space="preserve"> these reports, </w:t>
      </w:r>
      <w:r>
        <w:rPr>
          <w:szCs w:val="24"/>
          <w:lang w:val="en-US"/>
        </w:rPr>
        <w:t>NAFIN</w:t>
      </w:r>
      <w:r w:rsidR="00937D90" w:rsidRPr="00112914">
        <w:rPr>
          <w:szCs w:val="24"/>
          <w:lang w:val="en-US"/>
        </w:rPr>
        <w:t xml:space="preserve"> and </w:t>
      </w:r>
      <w:r w:rsidR="00294BA4">
        <w:rPr>
          <w:szCs w:val="24"/>
          <w:lang w:val="en-US"/>
        </w:rPr>
        <w:t xml:space="preserve">the </w:t>
      </w:r>
      <w:r w:rsidR="00937D90" w:rsidRPr="00112914">
        <w:rPr>
          <w:szCs w:val="24"/>
          <w:lang w:val="en-US"/>
        </w:rPr>
        <w:t xml:space="preserve">IDB could introduce adjustments to the </w:t>
      </w:r>
      <w:r w:rsidR="00294BA4">
        <w:rPr>
          <w:szCs w:val="24"/>
          <w:lang w:val="en-US"/>
        </w:rPr>
        <w:t>p</w:t>
      </w:r>
      <w:r w:rsidR="00937D90" w:rsidRPr="00112914">
        <w:rPr>
          <w:szCs w:val="24"/>
          <w:lang w:val="en-US"/>
        </w:rPr>
        <w:t xml:space="preserve">rogram. The executing agency will deliver the reports within 60 calendar days after the end of each </w:t>
      </w:r>
      <w:r w:rsidR="00294BA4">
        <w:rPr>
          <w:szCs w:val="24"/>
          <w:lang w:val="en-US"/>
        </w:rPr>
        <w:t>year</w:t>
      </w:r>
      <w:r w:rsidR="00294BA4" w:rsidRPr="00112914">
        <w:rPr>
          <w:szCs w:val="24"/>
          <w:lang w:val="en-US"/>
        </w:rPr>
        <w:t xml:space="preserve"> </w:t>
      </w:r>
      <w:r w:rsidR="00937D90" w:rsidRPr="00112914">
        <w:rPr>
          <w:szCs w:val="24"/>
          <w:lang w:val="en-US"/>
        </w:rPr>
        <w:t xml:space="preserve">of the </w:t>
      </w:r>
      <w:r w:rsidR="00294BA4">
        <w:rPr>
          <w:szCs w:val="24"/>
          <w:lang w:val="en-US"/>
        </w:rPr>
        <w:t>p</w:t>
      </w:r>
      <w:r w:rsidR="00937D90" w:rsidRPr="00112914">
        <w:rPr>
          <w:szCs w:val="24"/>
          <w:lang w:val="en-US"/>
        </w:rPr>
        <w:t xml:space="preserve">rogram’s implementation. The reports will include information regarding the evolution of the indicators, as well as financial information regarding the use of the resources and the state of the </w:t>
      </w:r>
      <w:r w:rsidR="00294BA4">
        <w:rPr>
          <w:szCs w:val="24"/>
          <w:lang w:val="en-US"/>
        </w:rPr>
        <w:t>p</w:t>
      </w:r>
      <w:r w:rsidR="00937D90" w:rsidRPr="00112914">
        <w:rPr>
          <w:szCs w:val="24"/>
          <w:lang w:val="en-US"/>
        </w:rPr>
        <w:t>rogram’s account. The Bank will be entitled to request additional information, if necessary.</w:t>
      </w:r>
    </w:p>
    <w:p w:rsidR="00937D90" w:rsidRPr="004424E9" w:rsidRDefault="001A7E25" w:rsidP="004424E9">
      <w:pPr>
        <w:pStyle w:val="ListParagraph"/>
        <w:numPr>
          <w:ilvl w:val="1"/>
          <w:numId w:val="24"/>
        </w:numPr>
        <w:ind w:left="450"/>
        <w:outlineLvl w:val="0"/>
        <w:rPr>
          <w:rFonts w:ascii="Times New Roman Bold" w:hAnsi="Times New Roman Bold" w:cs="Times New Roman"/>
          <w:b/>
          <w:smallCaps/>
          <w:noProof/>
          <w:sz w:val="28"/>
          <w:szCs w:val="28"/>
        </w:rPr>
      </w:pPr>
      <w:bookmarkStart w:id="18" w:name="_Toc375150060"/>
      <w:r w:rsidRPr="004424E9">
        <w:rPr>
          <w:rFonts w:ascii="Times New Roman Bold" w:hAnsi="Times New Roman Bold" w:cs="Times New Roman"/>
          <w:b/>
          <w:smallCaps/>
          <w:noProof/>
          <w:sz w:val="28"/>
          <w:szCs w:val="28"/>
        </w:rPr>
        <w:t>Monitoring Coordination, Work Plan and Budget</w:t>
      </w:r>
      <w:bookmarkEnd w:id="18"/>
    </w:p>
    <w:p w:rsidR="00937D90" w:rsidRDefault="00112914" w:rsidP="00071593">
      <w:pPr>
        <w:pStyle w:val="AutoNumpara"/>
        <w:rPr>
          <w:szCs w:val="24"/>
          <w:lang w:val="en-US"/>
        </w:rPr>
      </w:pPr>
      <w:r>
        <w:rPr>
          <w:szCs w:val="24"/>
          <w:lang w:val="en-US"/>
        </w:rPr>
        <w:t>NAFIN</w:t>
      </w:r>
      <w:r w:rsidR="00937D90" w:rsidRPr="00112914">
        <w:rPr>
          <w:szCs w:val="24"/>
          <w:lang w:val="en-US"/>
        </w:rPr>
        <w:t xml:space="preserve"> will be responsible for the supervision</w:t>
      </w:r>
      <w:r>
        <w:rPr>
          <w:szCs w:val="24"/>
          <w:lang w:val="en-US"/>
        </w:rPr>
        <w:t>,</w:t>
      </w:r>
      <w:r w:rsidR="00937D90" w:rsidRPr="00112914">
        <w:rPr>
          <w:szCs w:val="24"/>
          <w:lang w:val="en-US"/>
        </w:rPr>
        <w:t xml:space="preserve"> technical and administrative coordination of the </w:t>
      </w:r>
      <w:r w:rsidR="00294BA4">
        <w:rPr>
          <w:szCs w:val="24"/>
          <w:lang w:val="en-US"/>
        </w:rPr>
        <w:t>p</w:t>
      </w:r>
      <w:r w:rsidR="00937D90" w:rsidRPr="00112914">
        <w:rPr>
          <w:szCs w:val="24"/>
          <w:lang w:val="en-US"/>
        </w:rPr>
        <w:t xml:space="preserve">rogram. </w:t>
      </w:r>
      <w:r>
        <w:rPr>
          <w:szCs w:val="24"/>
          <w:lang w:val="en-US"/>
        </w:rPr>
        <w:t>NAFIN</w:t>
      </w:r>
      <w:r w:rsidR="00937D90" w:rsidRPr="00112914">
        <w:rPr>
          <w:szCs w:val="24"/>
          <w:lang w:val="en-US"/>
        </w:rPr>
        <w:t xml:space="preserve"> will be responsible for the execution of the activities envisioned under the </w:t>
      </w:r>
      <w:r w:rsidR="00294BA4">
        <w:rPr>
          <w:szCs w:val="24"/>
          <w:lang w:val="en-US"/>
        </w:rPr>
        <w:t>p</w:t>
      </w:r>
      <w:r w:rsidR="00937D90" w:rsidRPr="00112914">
        <w:rPr>
          <w:szCs w:val="24"/>
          <w:lang w:val="en-US"/>
        </w:rPr>
        <w:t>rogram, and performing the necessary reporting duties to the Bank.</w:t>
      </w:r>
    </w:p>
    <w:p w:rsidR="001873D0" w:rsidRPr="001873D0" w:rsidRDefault="001873D0" w:rsidP="001873D0">
      <w:pPr>
        <w:pStyle w:val="AutoNumpara"/>
        <w:rPr>
          <w:lang w:val="en-US"/>
        </w:rPr>
      </w:pPr>
      <w:r w:rsidRPr="001873D0">
        <w:rPr>
          <w:lang w:val="en-US"/>
        </w:rPr>
        <w:t xml:space="preserve">CTF/IDB resources are to be fully committed and disbursed within six years from the effective date of the loan agreement. Due to the phased approach of the program, resources from the IDB may be disbursed in a different schedule than CTF resources. </w:t>
      </w:r>
    </w:p>
    <w:p w:rsidR="00405566" w:rsidRDefault="00405566" w:rsidP="008F7E79">
      <w:pPr>
        <w:pStyle w:val="AutoNumpara"/>
        <w:rPr>
          <w:szCs w:val="24"/>
          <w:lang w:val="en-US"/>
        </w:rPr>
      </w:pPr>
      <w:r w:rsidRPr="00356E79">
        <w:rPr>
          <w:szCs w:val="24"/>
          <w:lang w:val="en-US"/>
        </w:rPr>
        <w:t xml:space="preserve">The cost </w:t>
      </w:r>
      <w:r w:rsidR="00B80223" w:rsidRPr="004424E9">
        <w:rPr>
          <w:szCs w:val="24"/>
          <w:lang w:val="en-US"/>
        </w:rPr>
        <w:t>and planned schedules for</w:t>
      </w:r>
      <w:r w:rsidRPr="00356E79">
        <w:rPr>
          <w:szCs w:val="24"/>
          <w:lang w:val="en-US"/>
        </w:rPr>
        <w:t xml:space="preserve"> the activitities </w:t>
      </w:r>
      <w:r w:rsidR="00B80223" w:rsidRPr="004424E9">
        <w:rPr>
          <w:szCs w:val="24"/>
          <w:lang w:val="en-US"/>
        </w:rPr>
        <w:t>are shown</w:t>
      </w:r>
      <w:r w:rsidRPr="00356E79">
        <w:rPr>
          <w:szCs w:val="24"/>
          <w:lang w:val="en-US"/>
        </w:rPr>
        <w:t xml:space="preserve"> in Table 2.2</w:t>
      </w:r>
      <w:r w:rsidR="00B80223" w:rsidRPr="004424E9">
        <w:rPr>
          <w:szCs w:val="24"/>
          <w:lang w:val="en-US"/>
        </w:rPr>
        <w:t xml:space="preserve">. Resources to cover these costs will come from the </w:t>
      </w:r>
      <w:r w:rsidR="00851149" w:rsidRPr="004424E9">
        <w:rPr>
          <w:szCs w:val="24"/>
          <w:lang w:val="en-US"/>
        </w:rPr>
        <w:t xml:space="preserve">the </w:t>
      </w:r>
      <w:r w:rsidR="00467E0C" w:rsidRPr="004424E9">
        <w:rPr>
          <w:szCs w:val="24"/>
          <w:lang w:val="en-US"/>
        </w:rPr>
        <w:t xml:space="preserve">supervision budget included in the CTF </w:t>
      </w:r>
      <w:r w:rsidR="00356E79" w:rsidRPr="004424E9">
        <w:rPr>
          <w:szCs w:val="24"/>
          <w:lang w:val="en-US"/>
        </w:rPr>
        <w:t>funding plus any</w:t>
      </w:r>
      <w:r w:rsidR="00851149" w:rsidRPr="004424E9">
        <w:rPr>
          <w:szCs w:val="24"/>
          <w:lang w:val="en-US"/>
        </w:rPr>
        <w:t xml:space="preserve"> standard </w:t>
      </w:r>
      <w:r w:rsidR="00356E79" w:rsidRPr="004424E9">
        <w:rPr>
          <w:szCs w:val="24"/>
          <w:lang w:val="en-US"/>
        </w:rPr>
        <w:t xml:space="preserve">administrative </w:t>
      </w:r>
      <w:r w:rsidR="00851149" w:rsidRPr="004424E9">
        <w:rPr>
          <w:szCs w:val="24"/>
          <w:lang w:val="en-US"/>
        </w:rPr>
        <w:t>costs associated to</w:t>
      </w:r>
      <w:r w:rsidRPr="00356E79">
        <w:rPr>
          <w:szCs w:val="24"/>
          <w:lang w:val="en-US"/>
        </w:rPr>
        <w:t xml:space="preserve"> IDB and NAFIN staff involved in the project. The structuture of NAFIN and </w:t>
      </w:r>
      <w:r w:rsidR="00356E79" w:rsidRPr="004424E9">
        <w:rPr>
          <w:szCs w:val="24"/>
          <w:lang w:val="en-US"/>
        </w:rPr>
        <w:t>the proven capacity of its human</w:t>
      </w:r>
      <w:r w:rsidRPr="00356E79">
        <w:rPr>
          <w:szCs w:val="24"/>
          <w:lang w:val="en-US"/>
        </w:rPr>
        <w:t xml:space="preserve"> resources ensures the compliance with all tasks and commitments </w:t>
      </w:r>
      <w:r w:rsidR="00356E79" w:rsidRPr="004424E9">
        <w:rPr>
          <w:szCs w:val="24"/>
          <w:lang w:val="en-US"/>
        </w:rPr>
        <w:t>related to this plan</w:t>
      </w:r>
      <w:r w:rsidRPr="00356E79">
        <w:rPr>
          <w:szCs w:val="24"/>
          <w:lang w:val="en-US"/>
        </w:rPr>
        <w:t xml:space="preserve">. </w:t>
      </w:r>
      <w:r w:rsidR="00356E79" w:rsidRPr="004424E9">
        <w:rPr>
          <w:szCs w:val="24"/>
          <w:lang w:val="en-US"/>
        </w:rPr>
        <w:t>It is estimated that</w:t>
      </w:r>
      <w:r w:rsidRPr="00356E79">
        <w:rPr>
          <w:szCs w:val="24"/>
          <w:lang w:val="en-US"/>
        </w:rPr>
        <w:t xml:space="preserve"> the Bank will deidcate 0,5 FTE per year for program monitoring and NAFIN will dedicate the equivalent </w:t>
      </w:r>
      <w:r w:rsidR="00356E79" w:rsidRPr="004424E9">
        <w:rPr>
          <w:szCs w:val="24"/>
          <w:lang w:val="en-US"/>
        </w:rPr>
        <w:t xml:space="preserve">to </w:t>
      </w:r>
      <w:r w:rsidRPr="00356E79">
        <w:rPr>
          <w:szCs w:val="24"/>
          <w:lang w:val="en-US"/>
        </w:rPr>
        <w:t>1 FTE</w:t>
      </w:r>
      <w:r w:rsidR="00356E79" w:rsidRPr="00356E79">
        <w:rPr>
          <w:szCs w:val="24"/>
          <w:lang w:val="en-US"/>
        </w:rPr>
        <w:t>.</w:t>
      </w:r>
      <w:r w:rsidR="00356E79">
        <w:rPr>
          <w:szCs w:val="24"/>
          <w:lang w:val="en-US"/>
        </w:rPr>
        <w:t xml:space="preserve"> Third-party resources may be required as part of the supervision activities financed by the CTF resources or, if applcable, to the IDB operational budget</w:t>
      </w:r>
      <w:r>
        <w:rPr>
          <w:szCs w:val="24"/>
          <w:lang w:val="en-US"/>
        </w:rPr>
        <w:t xml:space="preserve">. </w:t>
      </w:r>
    </w:p>
    <w:p w:rsidR="004D2DDB" w:rsidRDefault="004D2DDB" w:rsidP="008F7E79">
      <w:pPr>
        <w:pStyle w:val="AutoNumpara"/>
        <w:rPr>
          <w:szCs w:val="24"/>
          <w:lang w:val="en-US"/>
        </w:rPr>
      </w:pPr>
      <w:r>
        <w:rPr>
          <w:szCs w:val="24"/>
          <w:lang w:val="en-US"/>
        </w:rPr>
        <w:t>The Division of Climate Change and Susrainability (INE/CCS), in their role as focal point of the Clean Technology Fund within the IDB, will provide the relevant information on the CTF indicators to the CTF TFC.</w:t>
      </w:r>
    </w:p>
    <w:p w:rsidR="004B00C8" w:rsidRPr="00304EEA" w:rsidRDefault="00405566" w:rsidP="00304EEA">
      <w:pPr>
        <w:pStyle w:val="AutoNumpara"/>
        <w:rPr>
          <w:lang w:val="en-US"/>
        </w:rPr>
      </w:pPr>
      <w:r w:rsidRPr="00B566C4">
        <w:rPr>
          <w:lang w:val="en-US"/>
        </w:rPr>
        <w:t xml:space="preserve">In addition, NAFIN is strengthening its administrative capacity in the area of Corporate Finance as part of the Technical Cooperation “Technical Support to Development Banks for the Mitigation of Climate Change” (ATN / MC -13341-RG), formalized between the Bank and NAFIN in August 2013 for </w:t>
      </w:r>
      <w:r w:rsidR="00BD56BA" w:rsidRPr="00B566C4">
        <w:rPr>
          <w:lang w:val="en-US"/>
        </w:rPr>
        <w:t xml:space="preserve">a total </w:t>
      </w:r>
      <w:r w:rsidRPr="00B566C4">
        <w:rPr>
          <w:lang w:val="en-US"/>
        </w:rPr>
        <w:t>amount of USD 135,000. It is also expe</w:t>
      </w:r>
      <w:r w:rsidR="001873D0" w:rsidRPr="00B566C4">
        <w:rPr>
          <w:lang w:val="en-US"/>
        </w:rPr>
        <w:t xml:space="preserve">cted that </w:t>
      </w:r>
      <w:r w:rsidR="00BD56BA" w:rsidRPr="00B566C4">
        <w:rPr>
          <w:lang w:val="en-US"/>
        </w:rPr>
        <w:t xml:space="preserve">the implementation of the </w:t>
      </w:r>
      <w:r w:rsidR="001873D0" w:rsidRPr="00B566C4">
        <w:rPr>
          <w:lang w:val="en-US"/>
        </w:rPr>
        <w:t xml:space="preserve">program </w:t>
      </w:r>
      <w:r w:rsidR="00BD56BA" w:rsidRPr="00B566C4">
        <w:rPr>
          <w:lang w:val="en-US"/>
        </w:rPr>
        <w:t xml:space="preserve">will </w:t>
      </w:r>
      <w:r w:rsidR="001873D0" w:rsidRPr="00B566C4">
        <w:rPr>
          <w:lang w:val="en-US"/>
        </w:rPr>
        <w:t>generate</w:t>
      </w:r>
      <w:r w:rsidRPr="00B566C4">
        <w:rPr>
          <w:lang w:val="en-US"/>
        </w:rPr>
        <w:t xml:space="preserve"> information and </w:t>
      </w:r>
      <w:r w:rsidR="001873D0" w:rsidRPr="00B566C4">
        <w:rPr>
          <w:lang w:val="en-US"/>
        </w:rPr>
        <w:t xml:space="preserve">knowledge </w:t>
      </w:r>
      <w:r w:rsidR="00BD56BA" w:rsidRPr="00B566C4">
        <w:rPr>
          <w:lang w:val="en-US"/>
        </w:rPr>
        <w:t>on the</w:t>
      </w:r>
      <w:r w:rsidR="001873D0" w:rsidRPr="00B566C4">
        <w:rPr>
          <w:lang w:val="en-US"/>
        </w:rPr>
        <w:t xml:space="preserve"> geothermal energy </w:t>
      </w:r>
      <w:r w:rsidR="00BD56BA" w:rsidRPr="00B566C4">
        <w:rPr>
          <w:lang w:val="en-US"/>
        </w:rPr>
        <w:t>sector</w:t>
      </w:r>
      <w:r w:rsidRPr="00B566C4">
        <w:rPr>
          <w:lang w:val="en-US"/>
        </w:rPr>
        <w:t xml:space="preserve">, which could be the basis for the development of similar programs </w:t>
      </w:r>
      <w:r w:rsidR="00BD56BA" w:rsidRPr="00B566C4">
        <w:rPr>
          <w:lang w:val="en-US"/>
        </w:rPr>
        <w:t>in the region and which should provide continuity to the development of the sector in Mexico</w:t>
      </w:r>
      <w:r w:rsidRPr="00B566C4">
        <w:rPr>
          <w:lang w:val="en-US"/>
        </w:rPr>
        <w:t>.</w:t>
      </w:r>
      <w:r w:rsidR="003748B2" w:rsidRPr="00B566C4">
        <w:rPr>
          <w:lang w:val="en-US"/>
        </w:rPr>
        <w:t xml:space="preserve"> </w:t>
      </w:r>
      <w:r w:rsidR="003748B2" w:rsidRPr="00304EEA">
        <w:rPr>
          <w:lang w:val="en-US"/>
        </w:rPr>
        <w:t xml:space="preserve">Besides, </w:t>
      </w:r>
      <w:r w:rsidR="00BD56BA" w:rsidRPr="00304EEA">
        <w:rPr>
          <w:lang w:val="en-US"/>
        </w:rPr>
        <w:t xml:space="preserve">the program considers an allocation of </w:t>
      </w:r>
      <w:r w:rsidR="00304EEA" w:rsidRPr="00304EEA">
        <w:rPr>
          <w:lang w:val="en-US"/>
        </w:rPr>
        <w:t>around</w:t>
      </w:r>
      <w:r w:rsidR="00304EEA">
        <w:rPr>
          <w:lang w:val="en-US"/>
        </w:rPr>
        <w:t xml:space="preserve"> US$3 million</w:t>
      </w:r>
      <w:r w:rsidR="00304EEA" w:rsidRPr="00304EEA">
        <w:rPr>
          <w:lang w:val="en-US"/>
        </w:rPr>
        <w:t xml:space="preserve"> </w:t>
      </w:r>
      <w:r w:rsidR="00BD56BA" w:rsidRPr="00304EEA">
        <w:rPr>
          <w:lang w:val="en-US"/>
        </w:rPr>
        <w:t>for implementation costs and technical assistance activities,</w:t>
      </w:r>
      <w:r w:rsidR="003748B2" w:rsidRPr="00304EEA">
        <w:rPr>
          <w:lang w:val="en-US"/>
        </w:rPr>
        <w:t xml:space="preserve"> </w:t>
      </w:r>
      <w:r w:rsidR="00BD56BA" w:rsidRPr="00304EEA">
        <w:rPr>
          <w:lang w:val="en-US"/>
        </w:rPr>
        <w:t>which will</w:t>
      </w:r>
      <w:r w:rsidR="003748B2" w:rsidRPr="00304EEA">
        <w:rPr>
          <w:lang w:val="en-US"/>
        </w:rPr>
        <w:t xml:space="preserve"> finance the contracting of expert services that will provide technical soundness to the </w:t>
      </w:r>
      <w:r w:rsidR="00BD56BA" w:rsidRPr="00304EEA">
        <w:rPr>
          <w:lang w:val="en-US"/>
        </w:rPr>
        <w:t>program</w:t>
      </w:r>
      <w:r w:rsidR="003748B2" w:rsidRPr="00304EEA">
        <w:rPr>
          <w:lang w:val="en-US"/>
        </w:rPr>
        <w:t xml:space="preserve"> and </w:t>
      </w:r>
      <w:r w:rsidR="003748B2" w:rsidRPr="00304EEA">
        <w:rPr>
          <w:u w:val="single"/>
          <w:lang w:val="en-US"/>
        </w:rPr>
        <w:t>help build capacity in NAFIN and SENER for the continued support of the industry</w:t>
      </w:r>
      <w:r w:rsidR="00AB2857" w:rsidRPr="00304EEA">
        <w:rPr>
          <w:lang w:val="en-US"/>
        </w:rPr>
        <w:t>.</w:t>
      </w:r>
    </w:p>
    <w:p w:rsidR="00937D90" w:rsidRPr="00071593" w:rsidRDefault="00937D90" w:rsidP="00071593">
      <w:pPr>
        <w:pStyle w:val="BodyText2"/>
        <w:spacing w:after="0" w:line="240" w:lineRule="auto"/>
        <w:jc w:val="center"/>
        <w:rPr>
          <w:b/>
          <w:szCs w:val="24"/>
          <w:lang w:val="en-US"/>
        </w:rPr>
      </w:pPr>
      <w:r w:rsidRPr="00071593">
        <w:rPr>
          <w:b/>
          <w:szCs w:val="24"/>
          <w:lang w:val="en-US"/>
        </w:rPr>
        <w:t xml:space="preserve">Table </w:t>
      </w:r>
      <w:r w:rsidR="00071593">
        <w:rPr>
          <w:b/>
          <w:szCs w:val="24"/>
          <w:lang w:val="en-US"/>
        </w:rPr>
        <w:t>2.2</w:t>
      </w:r>
      <w:r w:rsidRPr="00071593">
        <w:rPr>
          <w:b/>
          <w:szCs w:val="24"/>
          <w:lang w:val="en-US"/>
        </w:rPr>
        <w:t xml:space="preserve">: </w:t>
      </w:r>
      <w:r w:rsidRPr="00356E79">
        <w:rPr>
          <w:b/>
          <w:szCs w:val="24"/>
          <w:lang w:val="en-US"/>
        </w:rPr>
        <w:t>Monitoring Working Plan</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08"/>
        <w:gridCol w:w="360"/>
        <w:gridCol w:w="360"/>
        <w:gridCol w:w="360"/>
        <w:gridCol w:w="360"/>
        <w:gridCol w:w="360"/>
        <w:gridCol w:w="360"/>
        <w:gridCol w:w="360"/>
        <w:gridCol w:w="360"/>
        <w:gridCol w:w="360"/>
        <w:gridCol w:w="360"/>
        <w:gridCol w:w="360"/>
        <w:gridCol w:w="360"/>
        <w:gridCol w:w="810"/>
        <w:gridCol w:w="900"/>
      </w:tblGrid>
      <w:tr w:rsidR="00301794" w:rsidRPr="00301794" w:rsidTr="00B97526">
        <w:trPr>
          <w:trHeight w:val="377"/>
        </w:trPr>
        <w:tc>
          <w:tcPr>
            <w:tcW w:w="3708" w:type="dxa"/>
            <w:vMerge w:val="restart"/>
            <w:shd w:val="clear" w:color="auto" w:fill="A6A6A6" w:themeFill="background1" w:themeFillShade="A6"/>
            <w:vAlign w:val="center"/>
          </w:tcPr>
          <w:p w:rsidR="00356E79" w:rsidRPr="004424E9" w:rsidRDefault="00356E79" w:rsidP="00B97526">
            <w:pPr>
              <w:spacing w:after="0"/>
              <w:jc w:val="center"/>
              <w:rPr>
                <w:rFonts w:ascii="Times New Roman" w:hAnsi="Times New Roman" w:cs="Times New Roman"/>
                <w:b/>
                <w:sz w:val="18"/>
              </w:rPr>
            </w:pPr>
            <w:r w:rsidRPr="004424E9">
              <w:rPr>
                <w:rFonts w:ascii="Times New Roman" w:hAnsi="Times New Roman" w:cs="Times New Roman"/>
                <w:b/>
                <w:sz w:val="18"/>
              </w:rPr>
              <w:t>Activities</w:t>
            </w:r>
          </w:p>
        </w:tc>
        <w:tc>
          <w:tcPr>
            <w:tcW w:w="720" w:type="dxa"/>
            <w:gridSpan w:val="2"/>
            <w:shd w:val="clear" w:color="auto" w:fill="A6A6A6" w:themeFill="background1" w:themeFillShade="A6"/>
            <w:vAlign w:val="center"/>
          </w:tcPr>
          <w:p w:rsidR="00356E79" w:rsidRPr="004424E9" w:rsidRDefault="00356E79" w:rsidP="00B97526">
            <w:pPr>
              <w:spacing w:after="0"/>
              <w:jc w:val="center"/>
              <w:rPr>
                <w:rFonts w:ascii="Times New Roman" w:hAnsi="Times New Roman" w:cs="Times New Roman"/>
                <w:b/>
                <w:sz w:val="18"/>
              </w:rPr>
            </w:pPr>
            <w:r w:rsidRPr="004424E9">
              <w:rPr>
                <w:rFonts w:ascii="Times New Roman" w:hAnsi="Times New Roman" w:cs="Times New Roman"/>
                <w:b/>
                <w:sz w:val="18"/>
              </w:rPr>
              <w:t xml:space="preserve">Year 1 </w:t>
            </w:r>
          </w:p>
        </w:tc>
        <w:tc>
          <w:tcPr>
            <w:tcW w:w="720" w:type="dxa"/>
            <w:gridSpan w:val="2"/>
            <w:shd w:val="clear" w:color="auto" w:fill="A6A6A6" w:themeFill="background1" w:themeFillShade="A6"/>
            <w:vAlign w:val="center"/>
          </w:tcPr>
          <w:p w:rsidR="00356E79" w:rsidRPr="004424E9" w:rsidRDefault="00356E79" w:rsidP="00B97526">
            <w:pPr>
              <w:spacing w:after="0"/>
              <w:jc w:val="center"/>
              <w:rPr>
                <w:rFonts w:ascii="Times New Roman" w:hAnsi="Times New Roman" w:cs="Times New Roman"/>
                <w:b/>
                <w:sz w:val="18"/>
              </w:rPr>
            </w:pPr>
            <w:r w:rsidRPr="004424E9">
              <w:rPr>
                <w:rFonts w:ascii="Times New Roman" w:hAnsi="Times New Roman" w:cs="Times New Roman"/>
                <w:b/>
                <w:sz w:val="18"/>
              </w:rPr>
              <w:t>Year 2</w:t>
            </w:r>
          </w:p>
        </w:tc>
        <w:tc>
          <w:tcPr>
            <w:tcW w:w="720" w:type="dxa"/>
            <w:gridSpan w:val="2"/>
            <w:shd w:val="clear" w:color="auto" w:fill="A6A6A6" w:themeFill="background1" w:themeFillShade="A6"/>
            <w:vAlign w:val="center"/>
          </w:tcPr>
          <w:p w:rsidR="00356E79" w:rsidRPr="004424E9" w:rsidRDefault="00356E79" w:rsidP="00B97526">
            <w:pPr>
              <w:spacing w:after="0"/>
              <w:jc w:val="center"/>
              <w:rPr>
                <w:rFonts w:ascii="Times New Roman" w:hAnsi="Times New Roman" w:cs="Times New Roman"/>
                <w:b/>
                <w:sz w:val="18"/>
              </w:rPr>
            </w:pPr>
            <w:r w:rsidRPr="004424E9">
              <w:rPr>
                <w:rFonts w:ascii="Times New Roman" w:hAnsi="Times New Roman" w:cs="Times New Roman"/>
                <w:b/>
                <w:sz w:val="18"/>
              </w:rPr>
              <w:t>Year 3</w:t>
            </w:r>
          </w:p>
        </w:tc>
        <w:tc>
          <w:tcPr>
            <w:tcW w:w="720" w:type="dxa"/>
            <w:gridSpan w:val="2"/>
            <w:shd w:val="clear" w:color="auto" w:fill="A6A6A6" w:themeFill="background1" w:themeFillShade="A6"/>
            <w:vAlign w:val="center"/>
          </w:tcPr>
          <w:p w:rsidR="00356E79" w:rsidRPr="004424E9" w:rsidRDefault="00356E79" w:rsidP="00B97526">
            <w:pPr>
              <w:spacing w:after="0"/>
              <w:jc w:val="center"/>
              <w:rPr>
                <w:rFonts w:ascii="Times New Roman" w:hAnsi="Times New Roman" w:cs="Times New Roman"/>
                <w:b/>
                <w:sz w:val="18"/>
              </w:rPr>
            </w:pPr>
            <w:r w:rsidRPr="004424E9">
              <w:rPr>
                <w:rFonts w:ascii="Times New Roman" w:hAnsi="Times New Roman" w:cs="Times New Roman"/>
                <w:b/>
                <w:sz w:val="18"/>
              </w:rPr>
              <w:t>Year 4</w:t>
            </w:r>
          </w:p>
        </w:tc>
        <w:tc>
          <w:tcPr>
            <w:tcW w:w="720" w:type="dxa"/>
            <w:gridSpan w:val="2"/>
            <w:shd w:val="clear" w:color="auto" w:fill="A6A6A6" w:themeFill="background1" w:themeFillShade="A6"/>
            <w:vAlign w:val="center"/>
          </w:tcPr>
          <w:p w:rsidR="00356E79" w:rsidRPr="004424E9" w:rsidRDefault="00356E79" w:rsidP="00B97526">
            <w:pPr>
              <w:spacing w:after="0"/>
              <w:jc w:val="center"/>
              <w:rPr>
                <w:rFonts w:ascii="Times New Roman" w:hAnsi="Times New Roman" w:cs="Times New Roman"/>
                <w:b/>
                <w:sz w:val="18"/>
              </w:rPr>
            </w:pPr>
            <w:r w:rsidRPr="004424E9">
              <w:rPr>
                <w:rFonts w:ascii="Times New Roman" w:hAnsi="Times New Roman" w:cs="Times New Roman"/>
                <w:b/>
                <w:sz w:val="18"/>
              </w:rPr>
              <w:t>Year 5</w:t>
            </w:r>
          </w:p>
        </w:tc>
        <w:tc>
          <w:tcPr>
            <w:tcW w:w="720" w:type="dxa"/>
            <w:gridSpan w:val="2"/>
            <w:shd w:val="clear" w:color="auto" w:fill="A6A6A6" w:themeFill="background1" w:themeFillShade="A6"/>
            <w:vAlign w:val="center"/>
          </w:tcPr>
          <w:p w:rsidR="00356E79" w:rsidRPr="004424E9" w:rsidRDefault="00356E79" w:rsidP="00B97526">
            <w:pPr>
              <w:spacing w:after="0"/>
              <w:jc w:val="center"/>
              <w:rPr>
                <w:rFonts w:ascii="Times New Roman" w:hAnsi="Times New Roman" w:cs="Times New Roman"/>
                <w:b/>
                <w:sz w:val="18"/>
              </w:rPr>
            </w:pPr>
            <w:r w:rsidRPr="004424E9">
              <w:rPr>
                <w:rFonts w:ascii="Times New Roman" w:hAnsi="Times New Roman" w:cs="Times New Roman"/>
                <w:b/>
                <w:sz w:val="18"/>
              </w:rPr>
              <w:t>Year 6</w:t>
            </w:r>
          </w:p>
        </w:tc>
        <w:tc>
          <w:tcPr>
            <w:tcW w:w="810" w:type="dxa"/>
            <w:vMerge w:val="restart"/>
            <w:shd w:val="clear" w:color="auto" w:fill="A6A6A6" w:themeFill="background1" w:themeFillShade="A6"/>
            <w:vAlign w:val="center"/>
          </w:tcPr>
          <w:p w:rsidR="00356E79" w:rsidRPr="004424E9" w:rsidRDefault="00356E79" w:rsidP="00B97526">
            <w:pPr>
              <w:spacing w:after="0"/>
              <w:jc w:val="center"/>
              <w:rPr>
                <w:rFonts w:ascii="Times New Roman" w:hAnsi="Times New Roman" w:cs="Times New Roman"/>
                <w:b/>
                <w:sz w:val="18"/>
              </w:rPr>
            </w:pPr>
            <w:r w:rsidRPr="004424E9">
              <w:rPr>
                <w:rFonts w:ascii="Times New Roman" w:hAnsi="Times New Roman" w:cs="Times New Roman"/>
                <w:b/>
                <w:sz w:val="18"/>
              </w:rPr>
              <w:t>Responsible</w:t>
            </w:r>
          </w:p>
        </w:tc>
        <w:tc>
          <w:tcPr>
            <w:tcW w:w="900" w:type="dxa"/>
            <w:vMerge w:val="restart"/>
            <w:shd w:val="clear" w:color="auto" w:fill="A6A6A6" w:themeFill="background1" w:themeFillShade="A6"/>
          </w:tcPr>
          <w:p w:rsidR="00356E79" w:rsidRPr="004424E9" w:rsidRDefault="00301794" w:rsidP="00B97526">
            <w:pPr>
              <w:spacing w:after="0"/>
              <w:jc w:val="center"/>
              <w:rPr>
                <w:rFonts w:ascii="Times New Roman" w:hAnsi="Times New Roman" w:cs="Times New Roman"/>
                <w:b/>
                <w:sz w:val="18"/>
              </w:rPr>
            </w:pPr>
            <w:r>
              <w:rPr>
                <w:rFonts w:ascii="Times New Roman" w:hAnsi="Times New Roman" w:cs="Times New Roman"/>
                <w:b/>
                <w:sz w:val="18"/>
              </w:rPr>
              <w:t>Budget</w:t>
            </w:r>
          </w:p>
          <w:p w:rsidR="00356E79" w:rsidRPr="004424E9" w:rsidRDefault="00356E79" w:rsidP="00B97526">
            <w:pPr>
              <w:spacing w:after="0"/>
              <w:jc w:val="center"/>
              <w:rPr>
                <w:rFonts w:ascii="Times New Roman" w:hAnsi="Times New Roman" w:cs="Times New Roman"/>
                <w:b/>
                <w:sz w:val="18"/>
              </w:rPr>
            </w:pPr>
            <w:r w:rsidRPr="004424E9">
              <w:rPr>
                <w:rFonts w:ascii="Times New Roman" w:hAnsi="Times New Roman" w:cs="Times New Roman"/>
                <w:b/>
                <w:sz w:val="18"/>
              </w:rPr>
              <w:t>(USD)</w:t>
            </w:r>
          </w:p>
        </w:tc>
      </w:tr>
      <w:tr w:rsidR="00301794" w:rsidRPr="000B5407" w:rsidTr="004424E9">
        <w:trPr>
          <w:trHeight w:val="260"/>
        </w:trPr>
        <w:tc>
          <w:tcPr>
            <w:tcW w:w="3708" w:type="dxa"/>
            <w:vMerge/>
            <w:shd w:val="clear" w:color="auto" w:fill="D9D9D9" w:themeFill="background1" w:themeFillShade="D9"/>
            <w:vAlign w:val="center"/>
          </w:tcPr>
          <w:p w:rsidR="00301794" w:rsidRPr="005A4426" w:rsidRDefault="00301794" w:rsidP="00071593">
            <w:pPr>
              <w:spacing w:before="60" w:after="60"/>
              <w:jc w:val="center"/>
              <w:rPr>
                <w:rFonts w:ascii="Times New Roman" w:hAnsi="Times New Roman" w:cs="Times New Roman"/>
                <w:b/>
                <w:sz w:val="20"/>
              </w:rPr>
            </w:pPr>
          </w:p>
        </w:tc>
        <w:tc>
          <w:tcPr>
            <w:tcW w:w="360" w:type="dxa"/>
            <w:shd w:val="clear" w:color="auto" w:fill="A6A6A6" w:themeFill="background1" w:themeFillShade="A6"/>
            <w:vAlign w:val="center"/>
          </w:tcPr>
          <w:p w:rsidR="00301794" w:rsidRPr="004424E9" w:rsidRDefault="00301794" w:rsidP="003A509B">
            <w:pPr>
              <w:spacing w:after="0"/>
              <w:jc w:val="center"/>
              <w:rPr>
                <w:rFonts w:ascii="Times New Roman" w:hAnsi="Times New Roman" w:cs="Times New Roman"/>
                <w:b/>
                <w:sz w:val="18"/>
              </w:rPr>
            </w:pPr>
            <w:r>
              <w:rPr>
                <w:rFonts w:ascii="Times New Roman" w:hAnsi="Times New Roman" w:cs="Times New Roman"/>
                <w:b/>
                <w:sz w:val="18"/>
              </w:rPr>
              <w:t>I</w:t>
            </w:r>
          </w:p>
        </w:tc>
        <w:tc>
          <w:tcPr>
            <w:tcW w:w="360" w:type="dxa"/>
            <w:shd w:val="clear" w:color="auto" w:fill="A6A6A6" w:themeFill="background1" w:themeFillShade="A6"/>
            <w:vAlign w:val="center"/>
          </w:tcPr>
          <w:p w:rsidR="00301794" w:rsidRPr="004424E9" w:rsidRDefault="00301794" w:rsidP="003A509B">
            <w:pPr>
              <w:spacing w:after="0"/>
              <w:jc w:val="center"/>
              <w:rPr>
                <w:rFonts w:ascii="Times New Roman" w:hAnsi="Times New Roman" w:cs="Times New Roman"/>
                <w:b/>
                <w:sz w:val="18"/>
              </w:rPr>
            </w:pPr>
            <w:r>
              <w:rPr>
                <w:rFonts w:ascii="Times New Roman" w:hAnsi="Times New Roman" w:cs="Times New Roman"/>
                <w:b/>
                <w:sz w:val="18"/>
              </w:rPr>
              <w:t>II</w:t>
            </w:r>
          </w:p>
        </w:tc>
        <w:tc>
          <w:tcPr>
            <w:tcW w:w="360" w:type="dxa"/>
            <w:shd w:val="clear" w:color="auto" w:fill="A6A6A6" w:themeFill="background1" w:themeFillShade="A6"/>
            <w:vAlign w:val="center"/>
          </w:tcPr>
          <w:p w:rsidR="00301794" w:rsidRPr="004424E9" w:rsidRDefault="00301794" w:rsidP="003A509B">
            <w:pPr>
              <w:spacing w:after="0"/>
              <w:jc w:val="center"/>
              <w:rPr>
                <w:rFonts w:ascii="Times New Roman" w:hAnsi="Times New Roman" w:cs="Times New Roman"/>
                <w:b/>
                <w:sz w:val="18"/>
              </w:rPr>
            </w:pPr>
            <w:r>
              <w:rPr>
                <w:rFonts w:ascii="Times New Roman" w:hAnsi="Times New Roman" w:cs="Times New Roman"/>
                <w:b/>
                <w:sz w:val="18"/>
              </w:rPr>
              <w:t>I</w:t>
            </w:r>
          </w:p>
        </w:tc>
        <w:tc>
          <w:tcPr>
            <w:tcW w:w="360" w:type="dxa"/>
            <w:shd w:val="clear" w:color="auto" w:fill="A6A6A6" w:themeFill="background1" w:themeFillShade="A6"/>
            <w:vAlign w:val="center"/>
          </w:tcPr>
          <w:p w:rsidR="00301794" w:rsidRPr="004424E9" w:rsidRDefault="00301794" w:rsidP="003A509B">
            <w:pPr>
              <w:spacing w:after="0"/>
              <w:jc w:val="center"/>
              <w:rPr>
                <w:rFonts w:ascii="Times New Roman" w:hAnsi="Times New Roman" w:cs="Times New Roman"/>
                <w:b/>
                <w:sz w:val="18"/>
              </w:rPr>
            </w:pPr>
            <w:r>
              <w:rPr>
                <w:rFonts w:ascii="Times New Roman" w:hAnsi="Times New Roman" w:cs="Times New Roman"/>
                <w:b/>
                <w:sz w:val="18"/>
              </w:rPr>
              <w:t>II</w:t>
            </w:r>
          </w:p>
        </w:tc>
        <w:tc>
          <w:tcPr>
            <w:tcW w:w="360" w:type="dxa"/>
            <w:shd w:val="clear" w:color="auto" w:fill="A6A6A6" w:themeFill="background1" w:themeFillShade="A6"/>
            <w:vAlign w:val="center"/>
          </w:tcPr>
          <w:p w:rsidR="00301794" w:rsidRPr="004424E9" w:rsidRDefault="00301794" w:rsidP="003A509B">
            <w:pPr>
              <w:spacing w:after="0"/>
              <w:jc w:val="center"/>
              <w:rPr>
                <w:rFonts w:ascii="Times New Roman" w:hAnsi="Times New Roman" w:cs="Times New Roman"/>
                <w:b/>
                <w:sz w:val="18"/>
              </w:rPr>
            </w:pPr>
            <w:r>
              <w:rPr>
                <w:rFonts w:ascii="Times New Roman" w:hAnsi="Times New Roman" w:cs="Times New Roman"/>
                <w:b/>
                <w:sz w:val="18"/>
              </w:rPr>
              <w:t>I</w:t>
            </w:r>
          </w:p>
        </w:tc>
        <w:tc>
          <w:tcPr>
            <w:tcW w:w="360" w:type="dxa"/>
            <w:shd w:val="clear" w:color="auto" w:fill="A6A6A6" w:themeFill="background1" w:themeFillShade="A6"/>
            <w:vAlign w:val="center"/>
          </w:tcPr>
          <w:p w:rsidR="00301794" w:rsidRPr="004424E9" w:rsidRDefault="00301794" w:rsidP="003A509B">
            <w:pPr>
              <w:spacing w:after="0"/>
              <w:jc w:val="center"/>
              <w:rPr>
                <w:rFonts w:ascii="Times New Roman" w:hAnsi="Times New Roman" w:cs="Times New Roman"/>
                <w:b/>
                <w:sz w:val="18"/>
              </w:rPr>
            </w:pPr>
            <w:r>
              <w:rPr>
                <w:rFonts w:ascii="Times New Roman" w:hAnsi="Times New Roman" w:cs="Times New Roman"/>
                <w:b/>
                <w:sz w:val="18"/>
              </w:rPr>
              <w:t>II</w:t>
            </w:r>
          </w:p>
        </w:tc>
        <w:tc>
          <w:tcPr>
            <w:tcW w:w="360" w:type="dxa"/>
            <w:shd w:val="clear" w:color="auto" w:fill="A6A6A6" w:themeFill="background1" w:themeFillShade="A6"/>
            <w:vAlign w:val="center"/>
          </w:tcPr>
          <w:p w:rsidR="00301794" w:rsidRPr="004424E9" w:rsidRDefault="00301794" w:rsidP="00B866B4">
            <w:pPr>
              <w:spacing w:after="0"/>
              <w:jc w:val="center"/>
              <w:rPr>
                <w:rFonts w:ascii="Times New Roman" w:hAnsi="Times New Roman" w:cs="Times New Roman"/>
                <w:b/>
                <w:sz w:val="18"/>
              </w:rPr>
            </w:pPr>
            <w:r>
              <w:rPr>
                <w:rFonts w:ascii="Times New Roman" w:hAnsi="Times New Roman" w:cs="Times New Roman"/>
                <w:b/>
                <w:sz w:val="18"/>
              </w:rPr>
              <w:t>I</w:t>
            </w:r>
          </w:p>
        </w:tc>
        <w:tc>
          <w:tcPr>
            <w:tcW w:w="360" w:type="dxa"/>
            <w:shd w:val="clear" w:color="auto" w:fill="A6A6A6" w:themeFill="background1" w:themeFillShade="A6"/>
            <w:vAlign w:val="center"/>
          </w:tcPr>
          <w:p w:rsidR="00301794" w:rsidRPr="004424E9" w:rsidRDefault="00301794" w:rsidP="00B866B4">
            <w:pPr>
              <w:spacing w:after="0"/>
              <w:jc w:val="center"/>
              <w:rPr>
                <w:rFonts w:ascii="Times New Roman" w:hAnsi="Times New Roman" w:cs="Times New Roman"/>
                <w:b/>
                <w:sz w:val="18"/>
              </w:rPr>
            </w:pPr>
            <w:r>
              <w:rPr>
                <w:rFonts w:ascii="Times New Roman" w:hAnsi="Times New Roman" w:cs="Times New Roman"/>
                <w:b/>
                <w:sz w:val="18"/>
              </w:rPr>
              <w:t>II</w:t>
            </w:r>
          </w:p>
        </w:tc>
        <w:tc>
          <w:tcPr>
            <w:tcW w:w="360" w:type="dxa"/>
            <w:shd w:val="clear" w:color="auto" w:fill="A6A6A6" w:themeFill="background1" w:themeFillShade="A6"/>
            <w:vAlign w:val="center"/>
          </w:tcPr>
          <w:p w:rsidR="00301794" w:rsidRPr="004424E9" w:rsidRDefault="00301794" w:rsidP="00B866B4">
            <w:pPr>
              <w:spacing w:after="0"/>
              <w:jc w:val="center"/>
              <w:rPr>
                <w:rFonts w:ascii="Times New Roman" w:hAnsi="Times New Roman" w:cs="Times New Roman"/>
                <w:b/>
                <w:sz w:val="18"/>
              </w:rPr>
            </w:pPr>
            <w:r>
              <w:rPr>
                <w:rFonts w:ascii="Times New Roman" w:hAnsi="Times New Roman" w:cs="Times New Roman"/>
                <w:b/>
                <w:sz w:val="18"/>
              </w:rPr>
              <w:t>I</w:t>
            </w:r>
          </w:p>
        </w:tc>
        <w:tc>
          <w:tcPr>
            <w:tcW w:w="360" w:type="dxa"/>
            <w:shd w:val="clear" w:color="auto" w:fill="A6A6A6" w:themeFill="background1" w:themeFillShade="A6"/>
            <w:vAlign w:val="center"/>
          </w:tcPr>
          <w:p w:rsidR="00301794" w:rsidRPr="004424E9" w:rsidRDefault="00301794" w:rsidP="00B866B4">
            <w:pPr>
              <w:spacing w:after="0"/>
              <w:jc w:val="center"/>
              <w:rPr>
                <w:rFonts w:ascii="Times New Roman" w:hAnsi="Times New Roman" w:cs="Times New Roman"/>
                <w:b/>
                <w:sz w:val="18"/>
              </w:rPr>
            </w:pPr>
            <w:r>
              <w:rPr>
                <w:rFonts w:ascii="Times New Roman" w:hAnsi="Times New Roman" w:cs="Times New Roman"/>
                <w:b/>
                <w:sz w:val="18"/>
              </w:rPr>
              <w:t>II</w:t>
            </w:r>
          </w:p>
        </w:tc>
        <w:tc>
          <w:tcPr>
            <w:tcW w:w="360" w:type="dxa"/>
            <w:shd w:val="clear" w:color="auto" w:fill="A6A6A6" w:themeFill="background1" w:themeFillShade="A6"/>
            <w:vAlign w:val="center"/>
          </w:tcPr>
          <w:p w:rsidR="00301794" w:rsidRPr="004424E9" w:rsidRDefault="00301794" w:rsidP="003A509B">
            <w:pPr>
              <w:spacing w:after="0"/>
              <w:jc w:val="center"/>
              <w:rPr>
                <w:rFonts w:ascii="Times New Roman" w:hAnsi="Times New Roman" w:cs="Times New Roman"/>
                <w:b/>
                <w:sz w:val="18"/>
              </w:rPr>
            </w:pPr>
            <w:r>
              <w:rPr>
                <w:rFonts w:ascii="Times New Roman" w:hAnsi="Times New Roman" w:cs="Times New Roman"/>
                <w:b/>
                <w:sz w:val="18"/>
              </w:rPr>
              <w:t>I</w:t>
            </w:r>
          </w:p>
        </w:tc>
        <w:tc>
          <w:tcPr>
            <w:tcW w:w="360" w:type="dxa"/>
            <w:shd w:val="clear" w:color="auto" w:fill="A6A6A6" w:themeFill="background1" w:themeFillShade="A6"/>
            <w:vAlign w:val="center"/>
          </w:tcPr>
          <w:p w:rsidR="00301794" w:rsidRPr="004424E9" w:rsidRDefault="00301794" w:rsidP="003A509B">
            <w:pPr>
              <w:spacing w:after="0"/>
              <w:jc w:val="center"/>
              <w:rPr>
                <w:rFonts w:ascii="Times New Roman" w:hAnsi="Times New Roman" w:cs="Times New Roman"/>
                <w:b/>
                <w:sz w:val="18"/>
              </w:rPr>
            </w:pPr>
            <w:r>
              <w:rPr>
                <w:rFonts w:ascii="Times New Roman" w:hAnsi="Times New Roman" w:cs="Times New Roman"/>
                <w:b/>
                <w:sz w:val="18"/>
              </w:rPr>
              <w:t>II</w:t>
            </w:r>
          </w:p>
        </w:tc>
        <w:tc>
          <w:tcPr>
            <w:tcW w:w="810" w:type="dxa"/>
            <w:vMerge/>
            <w:shd w:val="clear" w:color="auto" w:fill="D9D9D9" w:themeFill="background1" w:themeFillShade="D9"/>
            <w:vAlign w:val="center"/>
          </w:tcPr>
          <w:p w:rsidR="00301794" w:rsidRPr="005A4426" w:rsidRDefault="00301794" w:rsidP="00071593">
            <w:pPr>
              <w:spacing w:before="60" w:after="60"/>
              <w:jc w:val="center"/>
              <w:rPr>
                <w:rFonts w:ascii="Times New Roman" w:hAnsi="Times New Roman" w:cs="Times New Roman"/>
                <w:b/>
                <w:sz w:val="20"/>
              </w:rPr>
            </w:pPr>
          </w:p>
        </w:tc>
        <w:tc>
          <w:tcPr>
            <w:tcW w:w="900" w:type="dxa"/>
            <w:vMerge/>
            <w:shd w:val="clear" w:color="auto" w:fill="D9D9D9" w:themeFill="background1" w:themeFillShade="D9"/>
          </w:tcPr>
          <w:p w:rsidR="00301794" w:rsidRDefault="00301794" w:rsidP="00071593">
            <w:pPr>
              <w:spacing w:before="60" w:after="60"/>
              <w:jc w:val="center"/>
              <w:rPr>
                <w:rFonts w:ascii="Times New Roman" w:hAnsi="Times New Roman" w:cs="Times New Roman"/>
                <w:b/>
                <w:sz w:val="20"/>
              </w:rPr>
            </w:pPr>
          </w:p>
        </w:tc>
      </w:tr>
      <w:tr w:rsidR="00301794" w:rsidRPr="000B5407" w:rsidTr="004424E9">
        <w:tc>
          <w:tcPr>
            <w:tcW w:w="3708" w:type="dxa"/>
          </w:tcPr>
          <w:p w:rsidR="00301794" w:rsidRPr="004424E9" w:rsidRDefault="00213EF3">
            <w:pPr>
              <w:spacing w:after="0"/>
              <w:rPr>
                <w:rFonts w:ascii="Times New Roman" w:hAnsi="Times New Roman" w:cs="Times New Roman"/>
                <w:b/>
                <w:sz w:val="18"/>
              </w:rPr>
            </w:pPr>
            <w:r>
              <w:rPr>
                <w:rFonts w:ascii="Times New Roman" w:hAnsi="Times New Roman" w:cs="Times New Roman"/>
                <w:b/>
                <w:sz w:val="18"/>
              </w:rPr>
              <w:t>Coordination m</w:t>
            </w:r>
            <w:r w:rsidR="00301794" w:rsidRPr="004424E9">
              <w:rPr>
                <w:rFonts w:ascii="Times New Roman" w:hAnsi="Times New Roman" w:cs="Times New Roman"/>
                <w:b/>
                <w:sz w:val="18"/>
              </w:rPr>
              <w:t>eetings and supervision visits</w:t>
            </w:r>
          </w:p>
        </w:tc>
        <w:tc>
          <w:tcPr>
            <w:tcW w:w="360" w:type="dxa"/>
            <w:tcBorders>
              <w:bottom w:val="single" w:sz="4" w:space="0" w:color="auto"/>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bottom w:val="single" w:sz="4" w:space="0" w:color="auto"/>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r w:rsidRPr="004424E9">
              <w:rPr>
                <w:rFonts w:ascii="Times New Roman" w:hAnsi="Times New Roman" w:cs="Times New Roman"/>
                <w:sz w:val="18"/>
                <w:szCs w:val="18"/>
              </w:rPr>
              <w:t>X</w:t>
            </w:r>
          </w:p>
        </w:tc>
        <w:tc>
          <w:tcPr>
            <w:tcW w:w="360" w:type="dxa"/>
            <w:tcBorders>
              <w:bottom w:val="single" w:sz="4" w:space="0" w:color="auto"/>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bottom w:val="single" w:sz="4" w:space="0" w:color="auto"/>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r w:rsidRPr="004424E9">
              <w:rPr>
                <w:rFonts w:ascii="Times New Roman" w:hAnsi="Times New Roman" w:cs="Times New Roman"/>
                <w:sz w:val="18"/>
                <w:szCs w:val="18"/>
              </w:rPr>
              <w:t>X</w:t>
            </w:r>
          </w:p>
        </w:tc>
        <w:tc>
          <w:tcPr>
            <w:tcW w:w="360" w:type="dxa"/>
            <w:tcBorders>
              <w:bottom w:val="single" w:sz="4" w:space="0" w:color="auto"/>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bottom w:val="single" w:sz="4" w:space="0" w:color="auto"/>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r w:rsidRPr="004424E9">
              <w:rPr>
                <w:rFonts w:ascii="Times New Roman" w:hAnsi="Times New Roman" w:cs="Times New Roman"/>
                <w:sz w:val="18"/>
                <w:szCs w:val="18"/>
              </w:rPr>
              <w:t>X</w:t>
            </w:r>
          </w:p>
        </w:tc>
        <w:tc>
          <w:tcPr>
            <w:tcW w:w="360" w:type="dxa"/>
            <w:tcBorders>
              <w:bottom w:val="single" w:sz="4" w:space="0" w:color="auto"/>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bottom w:val="single" w:sz="4" w:space="0" w:color="auto"/>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r w:rsidRPr="004424E9">
              <w:rPr>
                <w:rFonts w:ascii="Times New Roman" w:hAnsi="Times New Roman" w:cs="Times New Roman"/>
                <w:sz w:val="18"/>
                <w:szCs w:val="18"/>
              </w:rPr>
              <w:t>X</w:t>
            </w:r>
          </w:p>
        </w:tc>
        <w:tc>
          <w:tcPr>
            <w:tcW w:w="360" w:type="dxa"/>
            <w:tcBorders>
              <w:bottom w:val="single" w:sz="4" w:space="0" w:color="auto"/>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bottom w:val="single" w:sz="4" w:space="0" w:color="auto"/>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r w:rsidRPr="004424E9">
              <w:rPr>
                <w:rFonts w:ascii="Times New Roman" w:hAnsi="Times New Roman" w:cs="Times New Roman"/>
                <w:sz w:val="18"/>
                <w:szCs w:val="18"/>
              </w:rPr>
              <w:t>X</w:t>
            </w:r>
          </w:p>
        </w:tc>
        <w:tc>
          <w:tcPr>
            <w:tcW w:w="360" w:type="dxa"/>
            <w:tcBorders>
              <w:bottom w:val="single" w:sz="4" w:space="0" w:color="auto"/>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bottom w:val="single" w:sz="4" w:space="0" w:color="auto"/>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r w:rsidRPr="004424E9">
              <w:rPr>
                <w:rFonts w:ascii="Times New Roman" w:hAnsi="Times New Roman" w:cs="Times New Roman"/>
                <w:sz w:val="18"/>
                <w:szCs w:val="18"/>
              </w:rPr>
              <w:t>X</w:t>
            </w:r>
          </w:p>
        </w:tc>
        <w:tc>
          <w:tcPr>
            <w:tcW w:w="810" w:type="dxa"/>
            <w:vAlign w:val="center"/>
          </w:tcPr>
          <w:p w:rsidR="00301794" w:rsidRPr="004424E9" w:rsidRDefault="00301794">
            <w:pPr>
              <w:spacing w:after="0"/>
              <w:jc w:val="center"/>
              <w:rPr>
                <w:rFonts w:ascii="Times New Roman" w:hAnsi="Times New Roman" w:cs="Times New Roman"/>
                <w:sz w:val="18"/>
                <w:szCs w:val="18"/>
              </w:rPr>
            </w:pPr>
            <w:r w:rsidRPr="004424E9">
              <w:rPr>
                <w:rFonts w:ascii="Times New Roman" w:hAnsi="Times New Roman" w:cs="Times New Roman"/>
                <w:sz w:val="18"/>
                <w:szCs w:val="18"/>
              </w:rPr>
              <w:t>NAFIN/IDB</w:t>
            </w:r>
          </w:p>
        </w:tc>
        <w:tc>
          <w:tcPr>
            <w:tcW w:w="900" w:type="dxa"/>
            <w:vAlign w:val="center"/>
          </w:tcPr>
          <w:p w:rsidR="00301794" w:rsidRPr="004424E9" w:rsidRDefault="00301794">
            <w:pPr>
              <w:spacing w:after="0"/>
              <w:jc w:val="center"/>
              <w:rPr>
                <w:rFonts w:ascii="Times New Roman" w:hAnsi="Times New Roman" w:cs="Times New Roman"/>
                <w:b/>
                <w:sz w:val="18"/>
                <w:szCs w:val="18"/>
              </w:rPr>
            </w:pPr>
            <w:r w:rsidRPr="004424E9">
              <w:rPr>
                <w:rFonts w:ascii="Times New Roman" w:hAnsi="Times New Roman" w:cs="Times New Roman"/>
                <w:b/>
                <w:sz w:val="18"/>
                <w:szCs w:val="18"/>
              </w:rPr>
              <w:t>24,000</w:t>
            </w:r>
            <w:r w:rsidRPr="004424E9">
              <w:rPr>
                <w:rStyle w:val="FootnoteReference"/>
                <w:b/>
                <w:sz w:val="18"/>
                <w:szCs w:val="18"/>
              </w:rPr>
              <w:footnoteReference w:id="7"/>
            </w:r>
          </w:p>
        </w:tc>
      </w:tr>
      <w:tr w:rsidR="00301794" w:rsidRPr="000B5407" w:rsidTr="004424E9">
        <w:tc>
          <w:tcPr>
            <w:tcW w:w="3708" w:type="dxa"/>
            <w:tcBorders>
              <w:bottom w:val="single" w:sz="4" w:space="0" w:color="auto"/>
            </w:tcBorders>
            <w:shd w:val="clear" w:color="auto" w:fill="auto"/>
            <w:vAlign w:val="center"/>
          </w:tcPr>
          <w:p w:rsidR="00301794" w:rsidRPr="004424E9" w:rsidDel="00356E79" w:rsidRDefault="00301794">
            <w:pPr>
              <w:spacing w:after="0"/>
              <w:rPr>
                <w:rFonts w:ascii="Times New Roman" w:hAnsi="Times New Roman" w:cs="Times New Roman"/>
                <w:b/>
                <w:sz w:val="18"/>
              </w:rPr>
            </w:pPr>
            <w:r w:rsidRPr="004424E9">
              <w:rPr>
                <w:rFonts w:ascii="Times New Roman" w:hAnsi="Times New Roman" w:cs="Times New Roman"/>
                <w:b/>
                <w:sz w:val="18"/>
              </w:rPr>
              <w:t>Collection of data for output indicators</w:t>
            </w:r>
          </w:p>
        </w:tc>
        <w:tc>
          <w:tcPr>
            <w:tcW w:w="360" w:type="dxa"/>
            <w:tcBorders>
              <w:bottom w:val="single" w:sz="4" w:space="0" w:color="auto"/>
              <w:right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left w:val="nil"/>
              <w:bottom w:val="single" w:sz="4" w:space="0" w:color="auto"/>
              <w:right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left w:val="nil"/>
              <w:bottom w:val="single" w:sz="4" w:space="0" w:color="auto"/>
              <w:right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left w:val="nil"/>
              <w:bottom w:val="single" w:sz="4" w:space="0" w:color="auto"/>
              <w:right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left w:val="nil"/>
              <w:bottom w:val="single" w:sz="4" w:space="0" w:color="auto"/>
              <w:right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left w:val="nil"/>
              <w:bottom w:val="single" w:sz="4" w:space="0" w:color="auto"/>
              <w:right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left w:val="nil"/>
              <w:bottom w:val="single" w:sz="4" w:space="0" w:color="auto"/>
              <w:right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left w:val="nil"/>
              <w:bottom w:val="single" w:sz="4" w:space="0" w:color="auto"/>
              <w:right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left w:val="nil"/>
              <w:bottom w:val="single" w:sz="4" w:space="0" w:color="auto"/>
              <w:right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left w:val="nil"/>
              <w:bottom w:val="single" w:sz="4" w:space="0" w:color="auto"/>
              <w:right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left w:val="nil"/>
              <w:bottom w:val="single" w:sz="4" w:space="0" w:color="auto"/>
              <w:right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left w:val="nil"/>
              <w:bottom w:val="single" w:sz="4" w:space="0" w:color="auto"/>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810" w:type="dxa"/>
            <w:tcBorders>
              <w:bottom w:val="single" w:sz="4" w:space="0" w:color="auto"/>
            </w:tcBorders>
            <w:shd w:val="clear" w:color="auto" w:fill="auto"/>
            <w:vAlign w:val="center"/>
          </w:tcPr>
          <w:p w:rsidR="00301794" w:rsidRPr="004424E9" w:rsidRDefault="00301794" w:rsidP="00405566">
            <w:pPr>
              <w:spacing w:after="0"/>
              <w:jc w:val="center"/>
              <w:rPr>
                <w:rFonts w:ascii="Times New Roman" w:hAnsi="Times New Roman" w:cs="Times New Roman"/>
                <w:sz w:val="18"/>
                <w:szCs w:val="18"/>
              </w:rPr>
            </w:pPr>
          </w:p>
        </w:tc>
        <w:tc>
          <w:tcPr>
            <w:tcW w:w="900" w:type="dxa"/>
            <w:tcBorders>
              <w:bottom w:val="single" w:sz="4" w:space="0" w:color="auto"/>
            </w:tcBorders>
            <w:shd w:val="clear" w:color="auto" w:fill="auto"/>
            <w:vAlign w:val="center"/>
          </w:tcPr>
          <w:p w:rsidR="00301794" w:rsidRPr="004424E9" w:rsidRDefault="00301794" w:rsidP="002527A8">
            <w:pPr>
              <w:spacing w:after="0"/>
              <w:jc w:val="center"/>
              <w:rPr>
                <w:rFonts w:ascii="Times New Roman" w:hAnsi="Times New Roman" w:cs="Times New Roman"/>
                <w:b/>
                <w:sz w:val="18"/>
                <w:szCs w:val="18"/>
              </w:rPr>
            </w:pPr>
            <w:r w:rsidRPr="004424E9">
              <w:rPr>
                <w:rFonts w:ascii="Times New Roman" w:hAnsi="Times New Roman" w:cs="Times New Roman"/>
                <w:b/>
                <w:sz w:val="18"/>
                <w:szCs w:val="18"/>
              </w:rPr>
              <w:t>2</w:t>
            </w:r>
            <w:r w:rsidR="002527A8">
              <w:rPr>
                <w:rFonts w:ascii="Times New Roman" w:hAnsi="Times New Roman" w:cs="Times New Roman"/>
                <w:b/>
                <w:sz w:val="18"/>
                <w:szCs w:val="18"/>
              </w:rPr>
              <w:t>0</w:t>
            </w:r>
            <w:r w:rsidRPr="004424E9">
              <w:rPr>
                <w:rFonts w:ascii="Times New Roman" w:hAnsi="Times New Roman" w:cs="Times New Roman"/>
                <w:b/>
                <w:sz w:val="18"/>
                <w:szCs w:val="18"/>
              </w:rPr>
              <w:t>,000</w:t>
            </w:r>
          </w:p>
        </w:tc>
      </w:tr>
      <w:tr w:rsidR="00301794" w:rsidRPr="000B5407" w:rsidTr="004424E9">
        <w:tc>
          <w:tcPr>
            <w:tcW w:w="3708" w:type="dxa"/>
            <w:tcBorders>
              <w:bottom w:val="nil"/>
            </w:tcBorders>
            <w:vAlign w:val="center"/>
          </w:tcPr>
          <w:p w:rsidR="00301794" w:rsidRPr="004424E9" w:rsidRDefault="00301794" w:rsidP="004424E9">
            <w:pPr>
              <w:pStyle w:val="ListParagraph"/>
              <w:numPr>
                <w:ilvl w:val="0"/>
                <w:numId w:val="26"/>
              </w:numPr>
              <w:spacing w:after="0"/>
              <w:ind w:left="180" w:hanging="180"/>
              <w:rPr>
                <w:rFonts w:ascii="Times New Roman" w:hAnsi="Times New Roman" w:cs="Times New Roman"/>
                <w:b/>
                <w:sz w:val="18"/>
              </w:rPr>
            </w:pPr>
            <w:r w:rsidRPr="004424E9">
              <w:rPr>
                <w:rFonts w:ascii="Times New Roman" w:hAnsi="Times New Roman" w:cs="Times New Roman"/>
                <w:b/>
                <w:sz w:val="18"/>
              </w:rPr>
              <w:t>Component I</w:t>
            </w:r>
          </w:p>
        </w:tc>
        <w:tc>
          <w:tcPr>
            <w:tcW w:w="360" w:type="dxa"/>
            <w:tcBorders>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r w:rsidRPr="004424E9">
              <w:rPr>
                <w:rFonts w:ascii="Times New Roman" w:hAnsi="Times New Roman" w:cs="Times New Roman"/>
                <w:sz w:val="18"/>
                <w:szCs w:val="18"/>
              </w:rPr>
              <w:t>X</w:t>
            </w:r>
          </w:p>
        </w:tc>
        <w:tc>
          <w:tcPr>
            <w:tcW w:w="360" w:type="dxa"/>
            <w:tcBorders>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r w:rsidRPr="004424E9">
              <w:rPr>
                <w:rFonts w:ascii="Times New Roman" w:hAnsi="Times New Roman" w:cs="Times New Roman"/>
                <w:sz w:val="18"/>
                <w:szCs w:val="18"/>
              </w:rPr>
              <w:t>X</w:t>
            </w:r>
          </w:p>
        </w:tc>
        <w:tc>
          <w:tcPr>
            <w:tcW w:w="360" w:type="dxa"/>
            <w:tcBorders>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r w:rsidRPr="004424E9">
              <w:rPr>
                <w:rFonts w:ascii="Times New Roman" w:hAnsi="Times New Roman" w:cs="Times New Roman"/>
                <w:sz w:val="18"/>
                <w:szCs w:val="18"/>
              </w:rPr>
              <w:t>X</w:t>
            </w:r>
          </w:p>
        </w:tc>
        <w:tc>
          <w:tcPr>
            <w:tcW w:w="360" w:type="dxa"/>
            <w:tcBorders>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r w:rsidRPr="004424E9">
              <w:rPr>
                <w:rFonts w:ascii="Times New Roman" w:hAnsi="Times New Roman" w:cs="Times New Roman"/>
                <w:sz w:val="18"/>
                <w:szCs w:val="18"/>
              </w:rPr>
              <w:t>X</w:t>
            </w:r>
          </w:p>
        </w:tc>
        <w:tc>
          <w:tcPr>
            <w:tcW w:w="360" w:type="dxa"/>
            <w:tcBorders>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r w:rsidRPr="004424E9">
              <w:rPr>
                <w:rFonts w:ascii="Times New Roman" w:hAnsi="Times New Roman" w:cs="Times New Roman"/>
                <w:sz w:val="18"/>
                <w:szCs w:val="18"/>
              </w:rPr>
              <w:t>X</w:t>
            </w:r>
          </w:p>
        </w:tc>
        <w:tc>
          <w:tcPr>
            <w:tcW w:w="360" w:type="dxa"/>
            <w:tcBorders>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r w:rsidRPr="004424E9">
              <w:rPr>
                <w:rFonts w:ascii="Times New Roman" w:hAnsi="Times New Roman" w:cs="Times New Roman"/>
                <w:sz w:val="18"/>
                <w:szCs w:val="18"/>
              </w:rPr>
              <w:t>X</w:t>
            </w:r>
          </w:p>
        </w:tc>
        <w:tc>
          <w:tcPr>
            <w:tcW w:w="810" w:type="dxa"/>
            <w:tcBorders>
              <w:bottom w:val="nil"/>
            </w:tcBorders>
            <w:vAlign w:val="center"/>
          </w:tcPr>
          <w:p w:rsidR="00301794" w:rsidRPr="004424E9" w:rsidRDefault="00301794" w:rsidP="00405566">
            <w:pPr>
              <w:spacing w:after="0"/>
              <w:jc w:val="center"/>
              <w:rPr>
                <w:rFonts w:ascii="Times New Roman" w:hAnsi="Times New Roman" w:cs="Times New Roman"/>
                <w:sz w:val="18"/>
                <w:szCs w:val="18"/>
              </w:rPr>
            </w:pPr>
            <w:r w:rsidRPr="004424E9">
              <w:rPr>
                <w:rFonts w:ascii="Times New Roman" w:hAnsi="Times New Roman" w:cs="Times New Roman"/>
                <w:sz w:val="18"/>
                <w:szCs w:val="18"/>
              </w:rPr>
              <w:t>NAFIN/IDB</w:t>
            </w:r>
          </w:p>
        </w:tc>
        <w:tc>
          <w:tcPr>
            <w:tcW w:w="900" w:type="dxa"/>
            <w:tcBorders>
              <w:bottom w:val="nil"/>
            </w:tcBorders>
            <w:vAlign w:val="center"/>
          </w:tcPr>
          <w:p w:rsidR="00301794" w:rsidRPr="004424E9" w:rsidRDefault="00213EF3" w:rsidP="002527A8">
            <w:pPr>
              <w:spacing w:after="0"/>
              <w:jc w:val="center"/>
              <w:rPr>
                <w:rFonts w:ascii="Times New Roman" w:hAnsi="Times New Roman" w:cs="Times New Roman"/>
                <w:sz w:val="18"/>
                <w:szCs w:val="18"/>
              </w:rPr>
            </w:pPr>
            <w:r>
              <w:rPr>
                <w:rFonts w:ascii="Times New Roman" w:hAnsi="Times New Roman" w:cs="Times New Roman"/>
                <w:sz w:val="18"/>
                <w:szCs w:val="18"/>
              </w:rPr>
              <w:t>10,000</w:t>
            </w:r>
          </w:p>
        </w:tc>
      </w:tr>
      <w:tr w:rsidR="00301794" w:rsidRPr="000B5407" w:rsidTr="004424E9">
        <w:tc>
          <w:tcPr>
            <w:tcW w:w="3708" w:type="dxa"/>
            <w:tcBorders>
              <w:top w:val="nil"/>
            </w:tcBorders>
            <w:vAlign w:val="center"/>
          </w:tcPr>
          <w:p w:rsidR="00301794" w:rsidRPr="004424E9" w:rsidRDefault="00301794" w:rsidP="004424E9">
            <w:pPr>
              <w:pStyle w:val="ListParagraph"/>
              <w:numPr>
                <w:ilvl w:val="0"/>
                <w:numId w:val="26"/>
              </w:numPr>
              <w:spacing w:after="0"/>
              <w:ind w:left="180" w:hanging="180"/>
              <w:rPr>
                <w:rFonts w:ascii="Times New Roman" w:hAnsi="Times New Roman" w:cs="Times New Roman"/>
                <w:b/>
                <w:sz w:val="18"/>
              </w:rPr>
            </w:pPr>
            <w:r w:rsidRPr="004424E9">
              <w:rPr>
                <w:rFonts w:ascii="Times New Roman" w:hAnsi="Times New Roman" w:cs="Times New Roman"/>
                <w:b/>
                <w:sz w:val="18"/>
              </w:rPr>
              <w:t>Component II</w:t>
            </w:r>
          </w:p>
        </w:tc>
        <w:tc>
          <w:tcPr>
            <w:tcW w:w="360" w:type="dxa"/>
            <w:tcBorders>
              <w:top w:val="nil"/>
              <w:bottom w:val="single" w:sz="4" w:space="0" w:color="auto"/>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single" w:sz="4" w:space="0" w:color="auto"/>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r w:rsidRPr="004424E9">
              <w:rPr>
                <w:rFonts w:ascii="Times New Roman" w:hAnsi="Times New Roman" w:cs="Times New Roman"/>
                <w:sz w:val="18"/>
                <w:szCs w:val="18"/>
              </w:rPr>
              <w:t>X</w:t>
            </w:r>
          </w:p>
        </w:tc>
        <w:tc>
          <w:tcPr>
            <w:tcW w:w="360" w:type="dxa"/>
            <w:tcBorders>
              <w:top w:val="nil"/>
              <w:bottom w:val="single" w:sz="4" w:space="0" w:color="auto"/>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single" w:sz="4" w:space="0" w:color="auto"/>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r w:rsidRPr="004424E9">
              <w:rPr>
                <w:rFonts w:ascii="Times New Roman" w:hAnsi="Times New Roman" w:cs="Times New Roman"/>
                <w:sz w:val="18"/>
                <w:szCs w:val="18"/>
              </w:rPr>
              <w:t>X</w:t>
            </w:r>
          </w:p>
        </w:tc>
        <w:tc>
          <w:tcPr>
            <w:tcW w:w="360" w:type="dxa"/>
            <w:tcBorders>
              <w:top w:val="nil"/>
              <w:bottom w:val="single" w:sz="4" w:space="0" w:color="auto"/>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single" w:sz="4" w:space="0" w:color="auto"/>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r w:rsidRPr="004424E9">
              <w:rPr>
                <w:rFonts w:ascii="Times New Roman" w:hAnsi="Times New Roman" w:cs="Times New Roman"/>
                <w:sz w:val="18"/>
                <w:szCs w:val="18"/>
              </w:rPr>
              <w:t>X</w:t>
            </w:r>
          </w:p>
        </w:tc>
        <w:tc>
          <w:tcPr>
            <w:tcW w:w="360" w:type="dxa"/>
            <w:tcBorders>
              <w:top w:val="nil"/>
              <w:bottom w:val="single" w:sz="4" w:space="0" w:color="auto"/>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single" w:sz="4" w:space="0" w:color="auto"/>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r w:rsidRPr="004424E9">
              <w:rPr>
                <w:rFonts w:ascii="Times New Roman" w:hAnsi="Times New Roman" w:cs="Times New Roman"/>
                <w:sz w:val="18"/>
                <w:szCs w:val="18"/>
              </w:rPr>
              <w:t>X</w:t>
            </w:r>
          </w:p>
        </w:tc>
        <w:tc>
          <w:tcPr>
            <w:tcW w:w="360" w:type="dxa"/>
            <w:tcBorders>
              <w:top w:val="nil"/>
              <w:bottom w:val="single" w:sz="4" w:space="0" w:color="auto"/>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single" w:sz="4" w:space="0" w:color="auto"/>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r w:rsidRPr="004424E9">
              <w:rPr>
                <w:rFonts w:ascii="Times New Roman" w:hAnsi="Times New Roman" w:cs="Times New Roman"/>
                <w:sz w:val="18"/>
                <w:szCs w:val="18"/>
              </w:rPr>
              <w:t>X</w:t>
            </w:r>
          </w:p>
        </w:tc>
        <w:tc>
          <w:tcPr>
            <w:tcW w:w="360" w:type="dxa"/>
            <w:tcBorders>
              <w:top w:val="nil"/>
              <w:bottom w:val="single" w:sz="4" w:space="0" w:color="auto"/>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single" w:sz="4" w:space="0" w:color="auto"/>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r w:rsidRPr="004424E9">
              <w:rPr>
                <w:rFonts w:ascii="Times New Roman" w:hAnsi="Times New Roman" w:cs="Times New Roman"/>
                <w:sz w:val="18"/>
                <w:szCs w:val="18"/>
              </w:rPr>
              <w:t>X</w:t>
            </w:r>
          </w:p>
        </w:tc>
        <w:tc>
          <w:tcPr>
            <w:tcW w:w="810" w:type="dxa"/>
            <w:tcBorders>
              <w:top w:val="nil"/>
            </w:tcBorders>
            <w:vAlign w:val="center"/>
          </w:tcPr>
          <w:p w:rsidR="00301794" w:rsidRPr="004424E9" w:rsidRDefault="00301794" w:rsidP="00405566">
            <w:pPr>
              <w:spacing w:after="0"/>
              <w:jc w:val="center"/>
              <w:rPr>
                <w:rFonts w:ascii="Times New Roman" w:hAnsi="Times New Roman" w:cs="Times New Roman"/>
                <w:sz w:val="18"/>
                <w:szCs w:val="18"/>
              </w:rPr>
            </w:pPr>
            <w:r w:rsidRPr="004424E9">
              <w:rPr>
                <w:rFonts w:ascii="Times New Roman" w:hAnsi="Times New Roman" w:cs="Times New Roman"/>
                <w:sz w:val="18"/>
                <w:szCs w:val="18"/>
              </w:rPr>
              <w:t>NAFIN/IDB</w:t>
            </w:r>
          </w:p>
        </w:tc>
        <w:tc>
          <w:tcPr>
            <w:tcW w:w="900" w:type="dxa"/>
            <w:tcBorders>
              <w:top w:val="nil"/>
            </w:tcBorders>
            <w:vAlign w:val="center"/>
          </w:tcPr>
          <w:p w:rsidR="00301794" w:rsidRPr="004424E9" w:rsidRDefault="00213EF3" w:rsidP="002527A8">
            <w:pPr>
              <w:spacing w:after="0"/>
              <w:jc w:val="center"/>
              <w:rPr>
                <w:rFonts w:ascii="Times New Roman" w:hAnsi="Times New Roman" w:cs="Times New Roman"/>
                <w:sz w:val="18"/>
                <w:szCs w:val="18"/>
              </w:rPr>
            </w:pPr>
            <w:r>
              <w:rPr>
                <w:rFonts w:ascii="Times New Roman" w:hAnsi="Times New Roman" w:cs="Times New Roman"/>
                <w:sz w:val="18"/>
                <w:szCs w:val="18"/>
              </w:rPr>
              <w:t>10,000</w:t>
            </w:r>
          </w:p>
        </w:tc>
      </w:tr>
      <w:tr w:rsidR="00301794" w:rsidRPr="000B5407" w:rsidTr="004424E9">
        <w:trPr>
          <w:trHeight w:val="170"/>
        </w:trPr>
        <w:tc>
          <w:tcPr>
            <w:tcW w:w="3708" w:type="dxa"/>
            <w:tcBorders>
              <w:bottom w:val="single" w:sz="4" w:space="0" w:color="auto"/>
            </w:tcBorders>
            <w:vAlign w:val="center"/>
          </w:tcPr>
          <w:p w:rsidR="00301794" w:rsidRPr="004424E9" w:rsidRDefault="00301794" w:rsidP="00356E79">
            <w:pPr>
              <w:spacing w:after="0"/>
              <w:rPr>
                <w:rFonts w:ascii="Times New Roman" w:hAnsi="Times New Roman" w:cs="Times New Roman"/>
                <w:b/>
                <w:sz w:val="18"/>
              </w:rPr>
            </w:pPr>
            <w:r w:rsidRPr="004424E9">
              <w:rPr>
                <w:rFonts w:ascii="Times New Roman" w:hAnsi="Times New Roman" w:cs="Times New Roman"/>
                <w:b/>
                <w:sz w:val="18"/>
              </w:rPr>
              <w:t>Collection of data for outcome indicators</w:t>
            </w:r>
          </w:p>
        </w:tc>
        <w:tc>
          <w:tcPr>
            <w:tcW w:w="360" w:type="dxa"/>
            <w:tcBorders>
              <w:bottom w:val="single" w:sz="4" w:space="0" w:color="auto"/>
              <w:right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left w:val="nil"/>
              <w:bottom w:val="single" w:sz="4" w:space="0" w:color="auto"/>
              <w:right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left w:val="nil"/>
              <w:bottom w:val="single" w:sz="4" w:space="0" w:color="auto"/>
              <w:right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left w:val="nil"/>
              <w:bottom w:val="single" w:sz="4" w:space="0" w:color="auto"/>
              <w:right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left w:val="nil"/>
              <w:bottom w:val="single" w:sz="4" w:space="0" w:color="auto"/>
              <w:right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left w:val="nil"/>
              <w:bottom w:val="single" w:sz="4" w:space="0" w:color="auto"/>
              <w:right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left w:val="nil"/>
              <w:bottom w:val="single" w:sz="4" w:space="0" w:color="auto"/>
              <w:right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left w:val="nil"/>
              <w:bottom w:val="single" w:sz="4" w:space="0" w:color="auto"/>
              <w:right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left w:val="nil"/>
              <w:bottom w:val="single" w:sz="4" w:space="0" w:color="auto"/>
              <w:right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left w:val="nil"/>
              <w:bottom w:val="single" w:sz="4" w:space="0" w:color="auto"/>
              <w:right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left w:val="nil"/>
              <w:bottom w:val="single" w:sz="4" w:space="0" w:color="auto"/>
              <w:right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left w:val="nil"/>
              <w:bottom w:val="single" w:sz="4" w:space="0" w:color="auto"/>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810" w:type="dxa"/>
            <w:tcBorders>
              <w:bottom w:val="single" w:sz="4" w:space="0" w:color="auto"/>
            </w:tcBorders>
            <w:vAlign w:val="center"/>
          </w:tcPr>
          <w:p w:rsidR="00301794" w:rsidRPr="004424E9" w:rsidRDefault="00301794" w:rsidP="00405566">
            <w:pPr>
              <w:spacing w:after="0"/>
              <w:jc w:val="center"/>
              <w:rPr>
                <w:rFonts w:ascii="Times New Roman" w:hAnsi="Times New Roman" w:cs="Times New Roman"/>
                <w:sz w:val="18"/>
                <w:szCs w:val="18"/>
              </w:rPr>
            </w:pPr>
          </w:p>
        </w:tc>
        <w:tc>
          <w:tcPr>
            <w:tcW w:w="900" w:type="dxa"/>
            <w:tcBorders>
              <w:bottom w:val="single" w:sz="4" w:space="0" w:color="auto"/>
            </w:tcBorders>
            <w:vAlign w:val="center"/>
          </w:tcPr>
          <w:p w:rsidR="00301794" w:rsidRPr="004424E9" w:rsidRDefault="0009138A">
            <w:pPr>
              <w:spacing w:after="0"/>
              <w:jc w:val="center"/>
              <w:rPr>
                <w:rFonts w:ascii="Times New Roman" w:hAnsi="Times New Roman" w:cs="Times New Roman"/>
                <w:b/>
                <w:sz w:val="18"/>
                <w:szCs w:val="18"/>
              </w:rPr>
            </w:pPr>
            <w:r>
              <w:rPr>
                <w:rFonts w:ascii="Times New Roman" w:hAnsi="Times New Roman" w:cs="Times New Roman"/>
                <w:b/>
                <w:sz w:val="18"/>
                <w:szCs w:val="18"/>
              </w:rPr>
              <w:t>4</w:t>
            </w:r>
            <w:r w:rsidR="00301794" w:rsidRPr="004424E9">
              <w:rPr>
                <w:rFonts w:ascii="Times New Roman" w:hAnsi="Times New Roman" w:cs="Times New Roman"/>
                <w:b/>
                <w:sz w:val="18"/>
                <w:szCs w:val="18"/>
              </w:rPr>
              <w:t>0,000</w:t>
            </w:r>
          </w:p>
        </w:tc>
      </w:tr>
      <w:tr w:rsidR="00301794" w:rsidRPr="000B5407" w:rsidTr="004424E9">
        <w:tc>
          <w:tcPr>
            <w:tcW w:w="3708" w:type="dxa"/>
            <w:tcBorders>
              <w:bottom w:val="nil"/>
            </w:tcBorders>
            <w:vAlign w:val="center"/>
          </w:tcPr>
          <w:p w:rsidR="00301794" w:rsidRPr="004424E9" w:rsidRDefault="00301794" w:rsidP="004424E9">
            <w:pPr>
              <w:pStyle w:val="ListParagraph"/>
              <w:numPr>
                <w:ilvl w:val="0"/>
                <w:numId w:val="26"/>
              </w:numPr>
              <w:spacing w:after="0"/>
              <w:ind w:left="180" w:hanging="180"/>
              <w:rPr>
                <w:rFonts w:ascii="Times New Roman" w:hAnsi="Times New Roman" w:cs="Times New Roman"/>
                <w:b/>
                <w:sz w:val="18"/>
              </w:rPr>
            </w:pPr>
            <w:r w:rsidRPr="004424E9">
              <w:rPr>
                <w:rFonts w:ascii="Times New Roman" w:hAnsi="Times New Roman" w:cs="Times New Roman"/>
                <w:b/>
                <w:sz w:val="18"/>
              </w:rPr>
              <w:t>Geothermal projects financed that moved on from early exploration to production drilling</w:t>
            </w:r>
          </w:p>
        </w:tc>
        <w:tc>
          <w:tcPr>
            <w:tcW w:w="360" w:type="dxa"/>
            <w:tcBorders>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r w:rsidRPr="004424E9">
              <w:rPr>
                <w:rFonts w:ascii="Times New Roman" w:hAnsi="Times New Roman" w:cs="Times New Roman"/>
                <w:sz w:val="18"/>
                <w:szCs w:val="18"/>
              </w:rPr>
              <w:t>X</w:t>
            </w:r>
          </w:p>
        </w:tc>
        <w:tc>
          <w:tcPr>
            <w:tcW w:w="810" w:type="dxa"/>
            <w:tcBorders>
              <w:bottom w:val="nil"/>
            </w:tcBorders>
            <w:vAlign w:val="center"/>
          </w:tcPr>
          <w:p w:rsidR="00301794" w:rsidRPr="004424E9" w:rsidRDefault="00301794" w:rsidP="00405566">
            <w:pPr>
              <w:spacing w:after="0"/>
              <w:jc w:val="center"/>
              <w:rPr>
                <w:rFonts w:ascii="Times New Roman" w:hAnsi="Times New Roman" w:cs="Times New Roman"/>
                <w:sz w:val="18"/>
                <w:szCs w:val="18"/>
              </w:rPr>
            </w:pPr>
            <w:r w:rsidRPr="004424E9">
              <w:rPr>
                <w:rFonts w:ascii="Times New Roman" w:hAnsi="Times New Roman" w:cs="Times New Roman"/>
                <w:sz w:val="18"/>
                <w:szCs w:val="18"/>
              </w:rPr>
              <w:t>NAFIN</w:t>
            </w:r>
          </w:p>
        </w:tc>
        <w:tc>
          <w:tcPr>
            <w:tcW w:w="900" w:type="dxa"/>
            <w:tcBorders>
              <w:bottom w:val="nil"/>
            </w:tcBorders>
            <w:vAlign w:val="center"/>
          </w:tcPr>
          <w:p w:rsidR="00301794" w:rsidRPr="004424E9" w:rsidRDefault="00213EF3">
            <w:pPr>
              <w:spacing w:after="0"/>
              <w:jc w:val="center"/>
              <w:rPr>
                <w:rFonts w:ascii="Times New Roman" w:hAnsi="Times New Roman" w:cs="Times New Roman"/>
                <w:sz w:val="18"/>
                <w:szCs w:val="18"/>
              </w:rPr>
            </w:pPr>
            <w:r>
              <w:rPr>
                <w:rFonts w:ascii="Times New Roman" w:hAnsi="Times New Roman" w:cs="Times New Roman"/>
                <w:sz w:val="18"/>
                <w:szCs w:val="18"/>
              </w:rPr>
              <w:t>5,000</w:t>
            </w:r>
          </w:p>
        </w:tc>
      </w:tr>
      <w:tr w:rsidR="00301794" w:rsidRPr="000B5407" w:rsidTr="004424E9">
        <w:tc>
          <w:tcPr>
            <w:tcW w:w="3708" w:type="dxa"/>
            <w:tcBorders>
              <w:top w:val="nil"/>
              <w:bottom w:val="nil"/>
            </w:tcBorders>
            <w:vAlign w:val="center"/>
          </w:tcPr>
          <w:p w:rsidR="00301794" w:rsidRPr="004424E9" w:rsidRDefault="00301794" w:rsidP="004424E9">
            <w:pPr>
              <w:pStyle w:val="ListParagraph"/>
              <w:numPr>
                <w:ilvl w:val="0"/>
                <w:numId w:val="26"/>
              </w:numPr>
              <w:spacing w:after="0"/>
              <w:ind w:left="180" w:hanging="180"/>
              <w:rPr>
                <w:rFonts w:ascii="Times New Roman" w:hAnsi="Times New Roman" w:cs="Times New Roman"/>
                <w:b/>
                <w:sz w:val="18"/>
              </w:rPr>
            </w:pPr>
            <w:r w:rsidRPr="004424E9">
              <w:rPr>
                <w:rFonts w:ascii="Times New Roman" w:hAnsi="Times New Roman" w:cs="Times New Roman"/>
                <w:b/>
                <w:sz w:val="18"/>
              </w:rPr>
              <w:t>Geothermal projects financed that moved on from production drilling to construction</w:t>
            </w: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r w:rsidRPr="004424E9">
              <w:rPr>
                <w:rFonts w:ascii="Times New Roman" w:hAnsi="Times New Roman" w:cs="Times New Roman"/>
                <w:sz w:val="18"/>
                <w:szCs w:val="18"/>
              </w:rPr>
              <w:t>X</w:t>
            </w:r>
          </w:p>
        </w:tc>
        <w:tc>
          <w:tcPr>
            <w:tcW w:w="810" w:type="dxa"/>
            <w:tcBorders>
              <w:top w:val="nil"/>
              <w:bottom w:val="nil"/>
            </w:tcBorders>
            <w:vAlign w:val="center"/>
          </w:tcPr>
          <w:p w:rsidR="00301794" w:rsidRPr="004424E9" w:rsidRDefault="00301794" w:rsidP="00405566">
            <w:pPr>
              <w:spacing w:after="0"/>
              <w:jc w:val="center"/>
              <w:rPr>
                <w:rFonts w:ascii="Times New Roman" w:hAnsi="Times New Roman" w:cs="Times New Roman"/>
                <w:sz w:val="18"/>
                <w:szCs w:val="18"/>
              </w:rPr>
            </w:pPr>
            <w:r w:rsidRPr="004424E9">
              <w:rPr>
                <w:rFonts w:ascii="Times New Roman" w:hAnsi="Times New Roman" w:cs="Times New Roman"/>
                <w:sz w:val="18"/>
                <w:szCs w:val="18"/>
              </w:rPr>
              <w:t>NAFIN</w:t>
            </w:r>
          </w:p>
        </w:tc>
        <w:tc>
          <w:tcPr>
            <w:tcW w:w="900" w:type="dxa"/>
            <w:tcBorders>
              <w:top w:val="nil"/>
              <w:bottom w:val="nil"/>
            </w:tcBorders>
            <w:vAlign w:val="center"/>
          </w:tcPr>
          <w:p w:rsidR="00301794" w:rsidRPr="004424E9" w:rsidRDefault="00213EF3">
            <w:pPr>
              <w:spacing w:after="0"/>
              <w:jc w:val="center"/>
              <w:rPr>
                <w:rFonts w:ascii="Times New Roman" w:hAnsi="Times New Roman" w:cs="Times New Roman"/>
                <w:sz w:val="18"/>
                <w:szCs w:val="18"/>
              </w:rPr>
            </w:pPr>
            <w:r>
              <w:rPr>
                <w:rFonts w:ascii="Times New Roman" w:hAnsi="Times New Roman" w:cs="Times New Roman"/>
                <w:sz w:val="18"/>
                <w:szCs w:val="18"/>
              </w:rPr>
              <w:t>5,000</w:t>
            </w:r>
          </w:p>
        </w:tc>
      </w:tr>
      <w:tr w:rsidR="00301794" w:rsidRPr="000B5407" w:rsidTr="004424E9">
        <w:tc>
          <w:tcPr>
            <w:tcW w:w="3708" w:type="dxa"/>
            <w:tcBorders>
              <w:top w:val="nil"/>
              <w:bottom w:val="nil"/>
            </w:tcBorders>
            <w:vAlign w:val="center"/>
          </w:tcPr>
          <w:p w:rsidR="00301794" w:rsidRPr="004424E9" w:rsidRDefault="00301794" w:rsidP="004424E9">
            <w:pPr>
              <w:pStyle w:val="ListParagraph"/>
              <w:numPr>
                <w:ilvl w:val="0"/>
                <w:numId w:val="26"/>
              </w:numPr>
              <w:spacing w:after="0"/>
              <w:ind w:left="180" w:hanging="180"/>
              <w:rPr>
                <w:rFonts w:ascii="Times New Roman" w:hAnsi="Times New Roman" w:cs="Times New Roman"/>
                <w:b/>
                <w:sz w:val="18"/>
              </w:rPr>
            </w:pPr>
            <w:r w:rsidRPr="004424E9">
              <w:rPr>
                <w:rFonts w:ascii="Times New Roman" w:hAnsi="Times New Roman" w:cs="Times New Roman"/>
                <w:b/>
                <w:sz w:val="18"/>
              </w:rPr>
              <w:t>Total geothermal power projects financed at some stage by the program that are in operation (producing electricity)</w:t>
            </w: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r w:rsidRPr="004424E9">
              <w:rPr>
                <w:rFonts w:ascii="Times New Roman" w:hAnsi="Times New Roman" w:cs="Times New Roman"/>
                <w:sz w:val="18"/>
                <w:szCs w:val="18"/>
              </w:rPr>
              <w:t>X</w:t>
            </w:r>
          </w:p>
        </w:tc>
        <w:tc>
          <w:tcPr>
            <w:tcW w:w="810" w:type="dxa"/>
            <w:tcBorders>
              <w:top w:val="nil"/>
              <w:bottom w:val="nil"/>
            </w:tcBorders>
            <w:vAlign w:val="center"/>
          </w:tcPr>
          <w:p w:rsidR="00301794" w:rsidRPr="004424E9" w:rsidRDefault="00301794" w:rsidP="00405566">
            <w:pPr>
              <w:spacing w:after="0"/>
              <w:jc w:val="center"/>
              <w:rPr>
                <w:rFonts w:ascii="Times New Roman" w:hAnsi="Times New Roman" w:cs="Times New Roman"/>
                <w:sz w:val="18"/>
                <w:szCs w:val="18"/>
              </w:rPr>
            </w:pPr>
            <w:r w:rsidRPr="004424E9">
              <w:rPr>
                <w:rFonts w:ascii="Times New Roman" w:hAnsi="Times New Roman" w:cs="Times New Roman"/>
                <w:sz w:val="18"/>
                <w:szCs w:val="18"/>
              </w:rPr>
              <w:t>NAFIN</w:t>
            </w:r>
          </w:p>
        </w:tc>
        <w:tc>
          <w:tcPr>
            <w:tcW w:w="900" w:type="dxa"/>
            <w:tcBorders>
              <w:top w:val="nil"/>
              <w:bottom w:val="nil"/>
            </w:tcBorders>
            <w:vAlign w:val="center"/>
          </w:tcPr>
          <w:p w:rsidR="00301794" w:rsidRPr="004424E9" w:rsidRDefault="00213EF3">
            <w:pPr>
              <w:spacing w:after="0"/>
              <w:jc w:val="center"/>
              <w:rPr>
                <w:rFonts w:ascii="Times New Roman" w:hAnsi="Times New Roman" w:cs="Times New Roman"/>
                <w:sz w:val="18"/>
                <w:szCs w:val="18"/>
              </w:rPr>
            </w:pPr>
            <w:r>
              <w:rPr>
                <w:rFonts w:ascii="Times New Roman" w:hAnsi="Times New Roman" w:cs="Times New Roman"/>
                <w:sz w:val="18"/>
                <w:szCs w:val="18"/>
              </w:rPr>
              <w:t>5,000</w:t>
            </w:r>
          </w:p>
        </w:tc>
      </w:tr>
      <w:tr w:rsidR="00301794" w:rsidRPr="000B5407" w:rsidTr="004424E9">
        <w:tc>
          <w:tcPr>
            <w:tcW w:w="3708" w:type="dxa"/>
            <w:tcBorders>
              <w:top w:val="nil"/>
              <w:bottom w:val="nil"/>
            </w:tcBorders>
            <w:vAlign w:val="center"/>
          </w:tcPr>
          <w:p w:rsidR="00301794" w:rsidRPr="004424E9" w:rsidRDefault="00301794" w:rsidP="004424E9">
            <w:pPr>
              <w:pStyle w:val="ListParagraph"/>
              <w:numPr>
                <w:ilvl w:val="0"/>
                <w:numId w:val="26"/>
              </w:numPr>
              <w:spacing w:after="0"/>
              <w:ind w:left="180" w:hanging="180"/>
              <w:rPr>
                <w:rFonts w:ascii="Times New Roman" w:hAnsi="Times New Roman" w:cs="Times New Roman"/>
                <w:b/>
                <w:sz w:val="18"/>
              </w:rPr>
            </w:pPr>
            <w:r w:rsidRPr="004424E9">
              <w:rPr>
                <w:rFonts w:ascii="Times New Roman" w:hAnsi="Times New Roman" w:cs="Times New Roman"/>
                <w:b/>
                <w:sz w:val="18"/>
              </w:rPr>
              <w:t>Geothermal power generation capacity installed in projects financed at some stage by the program</w:t>
            </w: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r w:rsidRPr="004424E9">
              <w:rPr>
                <w:rFonts w:ascii="Times New Roman" w:hAnsi="Times New Roman" w:cs="Times New Roman"/>
                <w:sz w:val="18"/>
                <w:szCs w:val="18"/>
              </w:rPr>
              <w:t>X</w:t>
            </w:r>
          </w:p>
        </w:tc>
        <w:tc>
          <w:tcPr>
            <w:tcW w:w="810" w:type="dxa"/>
            <w:tcBorders>
              <w:top w:val="nil"/>
              <w:bottom w:val="nil"/>
            </w:tcBorders>
            <w:vAlign w:val="center"/>
          </w:tcPr>
          <w:p w:rsidR="00301794" w:rsidRPr="004424E9" w:rsidRDefault="00301794" w:rsidP="00405566">
            <w:pPr>
              <w:spacing w:after="0"/>
              <w:jc w:val="center"/>
              <w:rPr>
                <w:rFonts w:ascii="Times New Roman" w:hAnsi="Times New Roman" w:cs="Times New Roman"/>
                <w:sz w:val="18"/>
                <w:szCs w:val="18"/>
              </w:rPr>
            </w:pPr>
            <w:r w:rsidRPr="004424E9">
              <w:rPr>
                <w:rFonts w:ascii="Times New Roman" w:hAnsi="Times New Roman" w:cs="Times New Roman"/>
                <w:sz w:val="18"/>
                <w:szCs w:val="18"/>
              </w:rPr>
              <w:t>NAFIN</w:t>
            </w:r>
          </w:p>
        </w:tc>
        <w:tc>
          <w:tcPr>
            <w:tcW w:w="900" w:type="dxa"/>
            <w:tcBorders>
              <w:top w:val="nil"/>
              <w:bottom w:val="nil"/>
            </w:tcBorders>
            <w:vAlign w:val="center"/>
          </w:tcPr>
          <w:p w:rsidR="00301794" w:rsidRPr="004424E9" w:rsidRDefault="00213EF3">
            <w:pPr>
              <w:spacing w:after="0"/>
              <w:jc w:val="center"/>
              <w:rPr>
                <w:rFonts w:ascii="Times New Roman" w:hAnsi="Times New Roman" w:cs="Times New Roman"/>
                <w:sz w:val="18"/>
                <w:szCs w:val="18"/>
              </w:rPr>
            </w:pPr>
            <w:r>
              <w:rPr>
                <w:rFonts w:ascii="Times New Roman" w:hAnsi="Times New Roman" w:cs="Times New Roman"/>
                <w:sz w:val="18"/>
                <w:szCs w:val="18"/>
              </w:rPr>
              <w:t>5,000</w:t>
            </w:r>
          </w:p>
        </w:tc>
      </w:tr>
      <w:tr w:rsidR="00301794" w:rsidRPr="000B5407" w:rsidTr="004424E9">
        <w:tc>
          <w:tcPr>
            <w:tcW w:w="3708" w:type="dxa"/>
            <w:tcBorders>
              <w:top w:val="nil"/>
              <w:bottom w:val="nil"/>
            </w:tcBorders>
            <w:vAlign w:val="center"/>
          </w:tcPr>
          <w:p w:rsidR="00301794" w:rsidRPr="004424E9" w:rsidRDefault="00301794" w:rsidP="004424E9">
            <w:pPr>
              <w:pStyle w:val="ListParagraph"/>
              <w:numPr>
                <w:ilvl w:val="0"/>
                <w:numId w:val="26"/>
              </w:numPr>
              <w:spacing w:after="0"/>
              <w:ind w:left="180" w:hanging="180"/>
              <w:rPr>
                <w:rFonts w:ascii="Times New Roman" w:hAnsi="Times New Roman" w:cs="Times New Roman"/>
                <w:b/>
                <w:sz w:val="18"/>
              </w:rPr>
            </w:pPr>
            <w:r w:rsidRPr="004424E9">
              <w:rPr>
                <w:rFonts w:ascii="Times New Roman" w:hAnsi="Times New Roman" w:cs="Times New Roman"/>
                <w:b/>
                <w:sz w:val="18"/>
              </w:rPr>
              <w:t>Electricity production from geothermal projects financed at some stage by the program</w:t>
            </w: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r w:rsidRPr="004424E9">
              <w:rPr>
                <w:rFonts w:ascii="Times New Roman" w:hAnsi="Times New Roman" w:cs="Times New Roman"/>
                <w:sz w:val="18"/>
                <w:szCs w:val="18"/>
              </w:rPr>
              <w:t>X</w:t>
            </w:r>
          </w:p>
        </w:tc>
        <w:tc>
          <w:tcPr>
            <w:tcW w:w="810" w:type="dxa"/>
            <w:tcBorders>
              <w:top w:val="nil"/>
              <w:bottom w:val="nil"/>
            </w:tcBorders>
            <w:vAlign w:val="center"/>
          </w:tcPr>
          <w:p w:rsidR="00301794" w:rsidRPr="004424E9" w:rsidRDefault="00301794" w:rsidP="00405566">
            <w:pPr>
              <w:spacing w:after="0"/>
              <w:jc w:val="center"/>
              <w:rPr>
                <w:rFonts w:ascii="Times New Roman" w:hAnsi="Times New Roman" w:cs="Times New Roman"/>
                <w:sz w:val="18"/>
                <w:szCs w:val="18"/>
              </w:rPr>
            </w:pPr>
            <w:r w:rsidRPr="004424E9">
              <w:rPr>
                <w:rFonts w:ascii="Times New Roman" w:hAnsi="Times New Roman" w:cs="Times New Roman"/>
                <w:sz w:val="18"/>
                <w:szCs w:val="18"/>
              </w:rPr>
              <w:t>IDB</w:t>
            </w:r>
          </w:p>
        </w:tc>
        <w:tc>
          <w:tcPr>
            <w:tcW w:w="900" w:type="dxa"/>
            <w:tcBorders>
              <w:top w:val="nil"/>
              <w:bottom w:val="nil"/>
            </w:tcBorders>
            <w:vAlign w:val="center"/>
          </w:tcPr>
          <w:p w:rsidR="00301794" w:rsidRPr="004424E9" w:rsidRDefault="00213EF3">
            <w:pPr>
              <w:spacing w:after="0"/>
              <w:jc w:val="center"/>
              <w:rPr>
                <w:rFonts w:ascii="Times New Roman" w:hAnsi="Times New Roman" w:cs="Times New Roman"/>
                <w:sz w:val="18"/>
                <w:szCs w:val="18"/>
              </w:rPr>
            </w:pPr>
            <w:r>
              <w:rPr>
                <w:rFonts w:ascii="Times New Roman" w:hAnsi="Times New Roman" w:cs="Times New Roman"/>
                <w:sz w:val="18"/>
                <w:szCs w:val="18"/>
              </w:rPr>
              <w:t>5,000</w:t>
            </w:r>
          </w:p>
        </w:tc>
      </w:tr>
      <w:tr w:rsidR="00301794" w:rsidRPr="000B5407" w:rsidTr="004424E9">
        <w:tc>
          <w:tcPr>
            <w:tcW w:w="3708" w:type="dxa"/>
            <w:tcBorders>
              <w:top w:val="nil"/>
              <w:bottom w:val="nil"/>
            </w:tcBorders>
            <w:vAlign w:val="center"/>
          </w:tcPr>
          <w:p w:rsidR="00301794" w:rsidRPr="004424E9" w:rsidRDefault="00301794" w:rsidP="004424E9">
            <w:pPr>
              <w:pStyle w:val="ListParagraph"/>
              <w:numPr>
                <w:ilvl w:val="0"/>
                <w:numId w:val="26"/>
              </w:numPr>
              <w:spacing w:after="0"/>
              <w:ind w:left="180" w:hanging="180"/>
              <w:rPr>
                <w:rFonts w:ascii="Times New Roman" w:hAnsi="Times New Roman" w:cs="Times New Roman"/>
                <w:b/>
                <w:sz w:val="18"/>
              </w:rPr>
            </w:pPr>
            <w:r w:rsidRPr="004424E9">
              <w:rPr>
                <w:rFonts w:ascii="Times New Roman" w:hAnsi="Times New Roman" w:cs="Times New Roman"/>
                <w:b/>
                <w:sz w:val="18"/>
              </w:rPr>
              <w:t>Greenhouse gas (GHG) emissions avoided by geothermal projects financed at some stage by the program</w:t>
            </w: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r w:rsidRPr="004424E9">
              <w:rPr>
                <w:rFonts w:ascii="Times New Roman" w:hAnsi="Times New Roman" w:cs="Times New Roman"/>
                <w:sz w:val="18"/>
                <w:szCs w:val="18"/>
              </w:rPr>
              <w:t>X</w:t>
            </w:r>
          </w:p>
        </w:tc>
        <w:tc>
          <w:tcPr>
            <w:tcW w:w="810" w:type="dxa"/>
            <w:tcBorders>
              <w:top w:val="nil"/>
              <w:bottom w:val="nil"/>
            </w:tcBorders>
            <w:vAlign w:val="center"/>
          </w:tcPr>
          <w:p w:rsidR="00301794" w:rsidRPr="004424E9" w:rsidRDefault="00301794" w:rsidP="00405566">
            <w:pPr>
              <w:spacing w:after="0"/>
              <w:jc w:val="center"/>
              <w:rPr>
                <w:rFonts w:ascii="Times New Roman" w:hAnsi="Times New Roman" w:cs="Times New Roman"/>
                <w:sz w:val="18"/>
                <w:szCs w:val="18"/>
              </w:rPr>
            </w:pPr>
            <w:r w:rsidRPr="004424E9">
              <w:rPr>
                <w:rFonts w:ascii="Times New Roman" w:hAnsi="Times New Roman" w:cs="Times New Roman"/>
                <w:sz w:val="18"/>
                <w:szCs w:val="18"/>
              </w:rPr>
              <w:t>IDB</w:t>
            </w:r>
          </w:p>
        </w:tc>
        <w:tc>
          <w:tcPr>
            <w:tcW w:w="900" w:type="dxa"/>
            <w:tcBorders>
              <w:top w:val="nil"/>
              <w:bottom w:val="nil"/>
            </w:tcBorders>
            <w:vAlign w:val="center"/>
          </w:tcPr>
          <w:p w:rsidR="00301794" w:rsidRPr="004424E9" w:rsidRDefault="00213EF3">
            <w:pPr>
              <w:spacing w:after="0"/>
              <w:jc w:val="center"/>
              <w:rPr>
                <w:rFonts w:ascii="Times New Roman" w:hAnsi="Times New Roman" w:cs="Times New Roman"/>
                <w:sz w:val="18"/>
                <w:szCs w:val="18"/>
              </w:rPr>
            </w:pPr>
            <w:r>
              <w:rPr>
                <w:rFonts w:ascii="Times New Roman" w:hAnsi="Times New Roman" w:cs="Times New Roman"/>
                <w:sz w:val="18"/>
                <w:szCs w:val="18"/>
              </w:rPr>
              <w:t>5,000</w:t>
            </w:r>
          </w:p>
        </w:tc>
      </w:tr>
      <w:tr w:rsidR="00301794" w:rsidRPr="000B5407" w:rsidTr="004424E9">
        <w:tc>
          <w:tcPr>
            <w:tcW w:w="3708" w:type="dxa"/>
            <w:tcBorders>
              <w:top w:val="nil"/>
              <w:bottom w:val="nil"/>
            </w:tcBorders>
            <w:vAlign w:val="center"/>
          </w:tcPr>
          <w:p w:rsidR="00301794" w:rsidRPr="004424E9" w:rsidRDefault="00301794" w:rsidP="004424E9">
            <w:pPr>
              <w:pStyle w:val="ListParagraph"/>
              <w:numPr>
                <w:ilvl w:val="0"/>
                <w:numId w:val="26"/>
              </w:numPr>
              <w:spacing w:after="0"/>
              <w:ind w:left="180" w:hanging="180"/>
              <w:rPr>
                <w:rFonts w:ascii="Times New Roman" w:hAnsi="Times New Roman" w:cs="Times New Roman"/>
                <w:b/>
                <w:sz w:val="18"/>
              </w:rPr>
            </w:pPr>
            <w:r w:rsidRPr="004424E9">
              <w:rPr>
                <w:rFonts w:ascii="Times New Roman" w:hAnsi="Times New Roman" w:cs="Times New Roman"/>
                <w:b/>
                <w:sz w:val="18"/>
              </w:rPr>
              <w:t>Additional financing from third parties mobilized to complete geothermal projects financed at some stage by the program</w:t>
            </w: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r w:rsidRPr="004424E9">
              <w:rPr>
                <w:rFonts w:ascii="Times New Roman" w:hAnsi="Times New Roman" w:cs="Times New Roman"/>
                <w:sz w:val="18"/>
                <w:szCs w:val="18"/>
              </w:rPr>
              <w:t>X</w:t>
            </w: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r w:rsidRPr="004424E9">
              <w:rPr>
                <w:rFonts w:ascii="Times New Roman" w:hAnsi="Times New Roman" w:cs="Times New Roman"/>
                <w:sz w:val="18"/>
                <w:szCs w:val="18"/>
              </w:rPr>
              <w:t>X</w:t>
            </w: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r w:rsidRPr="004424E9">
              <w:rPr>
                <w:rFonts w:ascii="Times New Roman" w:hAnsi="Times New Roman" w:cs="Times New Roman"/>
                <w:sz w:val="18"/>
                <w:szCs w:val="18"/>
              </w:rPr>
              <w:t>X</w:t>
            </w: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r w:rsidRPr="004424E9">
              <w:rPr>
                <w:rFonts w:ascii="Times New Roman" w:hAnsi="Times New Roman" w:cs="Times New Roman"/>
                <w:sz w:val="18"/>
                <w:szCs w:val="18"/>
              </w:rPr>
              <w:t>X</w:t>
            </w: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r w:rsidRPr="004424E9">
              <w:rPr>
                <w:rFonts w:ascii="Times New Roman" w:hAnsi="Times New Roman" w:cs="Times New Roman"/>
                <w:sz w:val="18"/>
                <w:szCs w:val="18"/>
              </w:rPr>
              <w:t>X</w:t>
            </w: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301794" w:rsidRPr="004424E9" w:rsidRDefault="00301794" w:rsidP="003A509B">
            <w:pPr>
              <w:spacing w:after="0"/>
              <w:jc w:val="center"/>
              <w:rPr>
                <w:rFonts w:ascii="Times New Roman" w:hAnsi="Times New Roman" w:cs="Times New Roman"/>
                <w:sz w:val="18"/>
                <w:szCs w:val="18"/>
              </w:rPr>
            </w:pPr>
            <w:r w:rsidRPr="004424E9">
              <w:rPr>
                <w:rFonts w:ascii="Times New Roman" w:hAnsi="Times New Roman" w:cs="Times New Roman"/>
                <w:sz w:val="18"/>
                <w:szCs w:val="18"/>
              </w:rPr>
              <w:t>X</w:t>
            </w:r>
          </w:p>
        </w:tc>
        <w:tc>
          <w:tcPr>
            <w:tcW w:w="810" w:type="dxa"/>
            <w:tcBorders>
              <w:top w:val="nil"/>
              <w:bottom w:val="nil"/>
            </w:tcBorders>
            <w:vAlign w:val="center"/>
          </w:tcPr>
          <w:p w:rsidR="00301794" w:rsidRPr="004424E9" w:rsidRDefault="00301794">
            <w:pPr>
              <w:spacing w:after="0"/>
              <w:jc w:val="center"/>
              <w:rPr>
                <w:rFonts w:ascii="Times New Roman" w:hAnsi="Times New Roman" w:cs="Times New Roman"/>
                <w:sz w:val="18"/>
                <w:szCs w:val="18"/>
              </w:rPr>
            </w:pPr>
            <w:r w:rsidRPr="004424E9">
              <w:rPr>
                <w:rFonts w:ascii="Times New Roman" w:hAnsi="Times New Roman" w:cs="Times New Roman"/>
                <w:sz w:val="18"/>
                <w:szCs w:val="18"/>
              </w:rPr>
              <w:t>NAFIN/IDB</w:t>
            </w:r>
          </w:p>
        </w:tc>
        <w:tc>
          <w:tcPr>
            <w:tcW w:w="900" w:type="dxa"/>
            <w:tcBorders>
              <w:top w:val="nil"/>
              <w:bottom w:val="nil"/>
            </w:tcBorders>
            <w:vAlign w:val="center"/>
          </w:tcPr>
          <w:p w:rsidR="00301794" w:rsidRPr="004424E9" w:rsidRDefault="00213EF3">
            <w:pPr>
              <w:spacing w:after="0"/>
              <w:jc w:val="center"/>
              <w:rPr>
                <w:rFonts w:ascii="Times New Roman" w:hAnsi="Times New Roman" w:cs="Times New Roman"/>
                <w:sz w:val="18"/>
                <w:szCs w:val="18"/>
              </w:rPr>
            </w:pPr>
            <w:r>
              <w:rPr>
                <w:rFonts w:ascii="Times New Roman" w:hAnsi="Times New Roman" w:cs="Times New Roman"/>
                <w:sz w:val="18"/>
                <w:szCs w:val="18"/>
              </w:rPr>
              <w:t>10,000</w:t>
            </w:r>
          </w:p>
        </w:tc>
      </w:tr>
      <w:tr w:rsidR="002527A8" w:rsidRPr="000B5407" w:rsidTr="004424E9">
        <w:tc>
          <w:tcPr>
            <w:tcW w:w="3708" w:type="dxa"/>
            <w:vAlign w:val="center"/>
          </w:tcPr>
          <w:p w:rsidR="002527A8" w:rsidRPr="002527A8" w:rsidRDefault="002527A8">
            <w:pPr>
              <w:spacing w:after="0"/>
              <w:rPr>
                <w:rFonts w:ascii="Times New Roman" w:hAnsi="Times New Roman" w:cs="Times New Roman"/>
                <w:b/>
                <w:sz w:val="18"/>
              </w:rPr>
            </w:pPr>
            <w:r>
              <w:rPr>
                <w:rFonts w:ascii="Times New Roman" w:hAnsi="Times New Roman" w:cs="Times New Roman"/>
                <w:b/>
                <w:sz w:val="18"/>
              </w:rPr>
              <w:t>Final report (input for PCR)</w:t>
            </w:r>
          </w:p>
        </w:tc>
        <w:tc>
          <w:tcPr>
            <w:tcW w:w="360" w:type="dxa"/>
            <w:shd w:val="clear" w:color="auto" w:fill="auto"/>
            <w:vAlign w:val="center"/>
          </w:tcPr>
          <w:p w:rsidR="002527A8" w:rsidRPr="002527A8" w:rsidRDefault="002527A8" w:rsidP="003A509B">
            <w:pPr>
              <w:spacing w:after="0"/>
              <w:jc w:val="center"/>
              <w:rPr>
                <w:rFonts w:ascii="Times New Roman" w:hAnsi="Times New Roman" w:cs="Times New Roman"/>
                <w:sz w:val="18"/>
                <w:szCs w:val="18"/>
              </w:rPr>
            </w:pPr>
          </w:p>
        </w:tc>
        <w:tc>
          <w:tcPr>
            <w:tcW w:w="360" w:type="dxa"/>
            <w:shd w:val="clear" w:color="auto" w:fill="auto"/>
            <w:vAlign w:val="center"/>
          </w:tcPr>
          <w:p w:rsidR="002527A8" w:rsidRDefault="002527A8" w:rsidP="003A509B">
            <w:pPr>
              <w:spacing w:after="0"/>
              <w:jc w:val="center"/>
              <w:rPr>
                <w:rFonts w:ascii="Times New Roman" w:hAnsi="Times New Roman" w:cs="Times New Roman"/>
                <w:sz w:val="18"/>
                <w:szCs w:val="18"/>
              </w:rPr>
            </w:pPr>
          </w:p>
        </w:tc>
        <w:tc>
          <w:tcPr>
            <w:tcW w:w="360" w:type="dxa"/>
            <w:shd w:val="clear" w:color="auto" w:fill="auto"/>
            <w:vAlign w:val="center"/>
          </w:tcPr>
          <w:p w:rsidR="002527A8" w:rsidRPr="002527A8" w:rsidRDefault="002527A8" w:rsidP="003A509B">
            <w:pPr>
              <w:spacing w:after="0"/>
              <w:jc w:val="center"/>
              <w:rPr>
                <w:rFonts w:ascii="Times New Roman" w:hAnsi="Times New Roman" w:cs="Times New Roman"/>
                <w:sz w:val="18"/>
                <w:szCs w:val="18"/>
              </w:rPr>
            </w:pPr>
          </w:p>
        </w:tc>
        <w:tc>
          <w:tcPr>
            <w:tcW w:w="360" w:type="dxa"/>
            <w:shd w:val="clear" w:color="auto" w:fill="auto"/>
            <w:vAlign w:val="center"/>
          </w:tcPr>
          <w:p w:rsidR="002527A8" w:rsidRDefault="002527A8" w:rsidP="003A509B">
            <w:pPr>
              <w:spacing w:after="0"/>
              <w:jc w:val="center"/>
              <w:rPr>
                <w:rFonts w:ascii="Times New Roman" w:hAnsi="Times New Roman" w:cs="Times New Roman"/>
                <w:sz w:val="18"/>
                <w:szCs w:val="18"/>
              </w:rPr>
            </w:pPr>
          </w:p>
        </w:tc>
        <w:tc>
          <w:tcPr>
            <w:tcW w:w="360" w:type="dxa"/>
            <w:shd w:val="clear" w:color="auto" w:fill="auto"/>
            <w:vAlign w:val="center"/>
          </w:tcPr>
          <w:p w:rsidR="002527A8" w:rsidRPr="002527A8" w:rsidRDefault="002527A8" w:rsidP="003A509B">
            <w:pPr>
              <w:spacing w:after="0"/>
              <w:jc w:val="center"/>
              <w:rPr>
                <w:rFonts w:ascii="Times New Roman" w:hAnsi="Times New Roman" w:cs="Times New Roman"/>
                <w:sz w:val="18"/>
                <w:szCs w:val="18"/>
              </w:rPr>
            </w:pPr>
          </w:p>
        </w:tc>
        <w:tc>
          <w:tcPr>
            <w:tcW w:w="360" w:type="dxa"/>
            <w:shd w:val="clear" w:color="auto" w:fill="auto"/>
            <w:vAlign w:val="center"/>
          </w:tcPr>
          <w:p w:rsidR="002527A8" w:rsidRDefault="002527A8" w:rsidP="003A509B">
            <w:pPr>
              <w:spacing w:after="0"/>
              <w:jc w:val="center"/>
              <w:rPr>
                <w:rFonts w:ascii="Times New Roman" w:hAnsi="Times New Roman" w:cs="Times New Roman"/>
                <w:sz w:val="18"/>
                <w:szCs w:val="18"/>
              </w:rPr>
            </w:pPr>
          </w:p>
        </w:tc>
        <w:tc>
          <w:tcPr>
            <w:tcW w:w="360" w:type="dxa"/>
            <w:shd w:val="clear" w:color="auto" w:fill="auto"/>
            <w:vAlign w:val="center"/>
          </w:tcPr>
          <w:p w:rsidR="002527A8" w:rsidRPr="002527A8" w:rsidRDefault="002527A8" w:rsidP="003A509B">
            <w:pPr>
              <w:spacing w:after="0"/>
              <w:jc w:val="center"/>
              <w:rPr>
                <w:rFonts w:ascii="Times New Roman" w:hAnsi="Times New Roman" w:cs="Times New Roman"/>
                <w:sz w:val="18"/>
                <w:szCs w:val="18"/>
              </w:rPr>
            </w:pPr>
          </w:p>
        </w:tc>
        <w:tc>
          <w:tcPr>
            <w:tcW w:w="360" w:type="dxa"/>
            <w:shd w:val="clear" w:color="auto" w:fill="auto"/>
            <w:vAlign w:val="center"/>
          </w:tcPr>
          <w:p w:rsidR="002527A8" w:rsidRDefault="002527A8" w:rsidP="003A509B">
            <w:pPr>
              <w:spacing w:after="0"/>
              <w:jc w:val="center"/>
              <w:rPr>
                <w:rFonts w:ascii="Times New Roman" w:hAnsi="Times New Roman" w:cs="Times New Roman"/>
                <w:sz w:val="18"/>
                <w:szCs w:val="18"/>
              </w:rPr>
            </w:pPr>
          </w:p>
        </w:tc>
        <w:tc>
          <w:tcPr>
            <w:tcW w:w="360" w:type="dxa"/>
            <w:shd w:val="clear" w:color="auto" w:fill="auto"/>
            <w:vAlign w:val="center"/>
          </w:tcPr>
          <w:p w:rsidR="002527A8" w:rsidRPr="002527A8" w:rsidRDefault="002527A8" w:rsidP="003A509B">
            <w:pPr>
              <w:spacing w:after="0"/>
              <w:jc w:val="center"/>
              <w:rPr>
                <w:rFonts w:ascii="Times New Roman" w:hAnsi="Times New Roman" w:cs="Times New Roman"/>
                <w:sz w:val="18"/>
                <w:szCs w:val="18"/>
              </w:rPr>
            </w:pPr>
          </w:p>
        </w:tc>
        <w:tc>
          <w:tcPr>
            <w:tcW w:w="360" w:type="dxa"/>
            <w:shd w:val="clear" w:color="auto" w:fill="auto"/>
            <w:vAlign w:val="center"/>
          </w:tcPr>
          <w:p w:rsidR="002527A8" w:rsidRDefault="002527A8" w:rsidP="003A509B">
            <w:pPr>
              <w:spacing w:after="0"/>
              <w:jc w:val="center"/>
              <w:rPr>
                <w:rFonts w:ascii="Times New Roman" w:hAnsi="Times New Roman" w:cs="Times New Roman"/>
                <w:sz w:val="18"/>
                <w:szCs w:val="18"/>
              </w:rPr>
            </w:pPr>
          </w:p>
        </w:tc>
        <w:tc>
          <w:tcPr>
            <w:tcW w:w="360" w:type="dxa"/>
            <w:shd w:val="clear" w:color="auto" w:fill="auto"/>
            <w:vAlign w:val="center"/>
          </w:tcPr>
          <w:p w:rsidR="002527A8" w:rsidRPr="002527A8" w:rsidRDefault="002527A8" w:rsidP="003A509B">
            <w:pPr>
              <w:spacing w:after="0"/>
              <w:jc w:val="center"/>
              <w:rPr>
                <w:rFonts w:ascii="Times New Roman" w:hAnsi="Times New Roman" w:cs="Times New Roman"/>
                <w:sz w:val="18"/>
                <w:szCs w:val="18"/>
              </w:rPr>
            </w:pPr>
          </w:p>
        </w:tc>
        <w:tc>
          <w:tcPr>
            <w:tcW w:w="360" w:type="dxa"/>
            <w:shd w:val="clear" w:color="auto" w:fill="auto"/>
            <w:vAlign w:val="center"/>
          </w:tcPr>
          <w:p w:rsidR="002527A8" w:rsidRDefault="002527A8" w:rsidP="003A509B">
            <w:pPr>
              <w:spacing w:after="0"/>
              <w:jc w:val="center"/>
              <w:rPr>
                <w:rFonts w:ascii="Times New Roman" w:hAnsi="Times New Roman" w:cs="Times New Roman"/>
                <w:sz w:val="18"/>
                <w:szCs w:val="18"/>
              </w:rPr>
            </w:pPr>
            <w:r>
              <w:rPr>
                <w:rFonts w:ascii="Times New Roman" w:hAnsi="Times New Roman" w:cs="Times New Roman"/>
                <w:sz w:val="18"/>
                <w:szCs w:val="18"/>
              </w:rPr>
              <w:t>X</w:t>
            </w:r>
          </w:p>
        </w:tc>
        <w:tc>
          <w:tcPr>
            <w:tcW w:w="810" w:type="dxa"/>
            <w:vAlign w:val="center"/>
          </w:tcPr>
          <w:p w:rsidR="002527A8" w:rsidRPr="002527A8" w:rsidRDefault="002527A8" w:rsidP="00405566">
            <w:pPr>
              <w:spacing w:after="0"/>
              <w:jc w:val="center"/>
              <w:rPr>
                <w:rFonts w:ascii="Times New Roman" w:hAnsi="Times New Roman" w:cs="Times New Roman"/>
                <w:sz w:val="18"/>
                <w:szCs w:val="18"/>
              </w:rPr>
            </w:pPr>
            <w:r w:rsidRPr="00794851">
              <w:rPr>
                <w:rFonts w:ascii="Times New Roman" w:hAnsi="Times New Roman" w:cs="Times New Roman"/>
                <w:sz w:val="18"/>
                <w:szCs w:val="18"/>
              </w:rPr>
              <w:t>NAFIN/IDB</w:t>
            </w:r>
          </w:p>
        </w:tc>
        <w:tc>
          <w:tcPr>
            <w:tcW w:w="900" w:type="dxa"/>
            <w:shd w:val="clear" w:color="auto" w:fill="auto"/>
            <w:vAlign w:val="center"/>
          </w:tcPr>
          <w:p w:rsidR="002527A8" w:rsidRPr="002527A8" w:rsidRDefault="002527A8" w:rsidP="004424E9">
            <w:pPr>
              <w:spacing w:after="0"/>
              <w:jc w:val="center"/>
              <w:rPr>
                <w:rFonts w:ascii="Times New Roman" w:hAnsi="Times New Roman" w:cs="Times New Roman"/>
                <w:b/>
                <w:sz w:val="18"/>
                <w:szCs w:val="18"/>
              </w:rPr>
            </w:pPr>
            <w:r>
              <w:rPr>
                <w:rFonts w:ascii="Times New Roman" w:hAnsi="Times New Roman" w:cs="Times New Roman"/>
                <w:b/>
                <w:sz w:val="18"/>
                <w:szCs w:val="18"/>
              </w:rPr>
              <w:t>30,000</w:t>
            </w:r>
          </w:p>
        </w:tc>
      </w:tr>
      <w:tr w:rsidR="00301794" w:rsidRPr="000B5407" w:rsidTr="004424E9">
        <w:trPr>
          <w:trHeight w:val="80"/>
        </w:trPr>
        <w:tc>
          <w:tcPr>
            <w:tcW w:w="3708" w:type="dxa"/>
            <w:tcBorders>
              <w:top w:val="single" w:sz="4" w:space="0" w:color="auto"/>
              <w:left w:val="nil"/>
              <w:bottom w:val="nil"/>
              <w:right w:val="nil"/>
            </w:tcBorders>
          </w:tcPr>
          <w:p w:rsidR="00301794" w:rsidRPr="005A4426" w:rsidRDefault="00301794" w:rsidP="004424E9">
            <w:pPr>
              <w:spacing w:after="0"/>
              <w:jc w:val="center"/>
              <w:rPr>
                <w:rFonts w:ascii="Times New Roman" w:hAnsi="Times New Roman" w:cs="Times New Roman"/>
                <w:b/>
                <w:sz w:val="20"/>
              </w:rPr>
            </w:pPr>
          </w:p>
        </w:tc>
        <w:tc>
          <w:tcPr>
            <w:tcW w:w="720" w:type="dxa"/>
            <w:gridSpan w:val="2"/>
            <w:tcBorders>
              <w:top w:val="single" w:sz="4" w:space="0" w:color="auto"/>
              <w:left w:val="nil"/>
              <w:bottom w:val="nil"/>
              <w:right w:val="nil"/>
            </w:tcBorders>
            <w:vAlign w:val="center"/>
          </w:tcPr>
          <w:p w:rsidR="00301794" w:rsidRPr="005A4426" w:rsidRDefault="00301794" w:rsidP="003A509B">
            <w:pPr>
              <w:spacing w:after="0"/>
              <w:jc w:val="center"/>
              <w:rPr>
                <w:rFonts w:ascii="Times New Roman" w:hAnsi="Times New Roman" w:cs="Times New Roman"/>
                <w:sz w:val="20"/>
              </w:rPr>
            </w:pPr>
          </w:p>
        </w:tc>
        <w:tc>
          <w:tcPr>
            <w:tcW w:w="720" w:type="dxa"/>
            <w:gridSpan w:val="2"/>
            <w:tcBorders>
              <w:top w:val="single" w:sz="4" w:space="0" w:color="auto"/>
              <w:left w:val="nil"/>
              <w:bottom w:val="nil"/>
              <w:right w:val="nil"/>
            </w:tcBorders>
            <w:vAlign w:val="center"/>
          </w:tcPr>
          <w:p w:rsidR="00301794" w:rsidRPr="005A4426" w:rsidRDefault="00301794" w:rsidP="003A509B">
            <w:pPr>
              <w:spacing w:after="0"/>
              <w:jc w:val="center"/>
              <w:rPr>
                <w:rFonts w:ascii="Times New Roman" w:hAnsi="Times New Roman" w:cs="Times New Roman"/>
                <w:sz w:val="20"/>
              </w:rPr>
            </w:pPr>
          </w:p>
        </w:tc>
        <w:tc>
          <w:tcPr>
            <w:tcW w:w="720" w:type="dxa"/>
            <w:gridSpan w:val="2"/>
            <w:tcBorders>
              <w:top w:val="single" w:sz="4" w:space="0" w:color="auto"/>
              <w:left w:val="nil"/>
              <w:bottom w:val="nil"/>
              <w:right w:val="nil"/>
            </w:tcBorders>
            <w:vAlign w:val="center"/>
          </w:tcPr>
          <w:p w:rsidR="00301794" w:rsidRPr="005A4426" w:rsidRDefault="00301794" w:rsidP="003A509B">
            <w:pPr>
              <w:spacing w:after="0"/>
              <w:jc w:val="center"/>
              <w:rPr>
                <w:rFonts w:ascii="Times New Roman" w:hAnsi="Times New Roman" w:cs="Times New Roman"/>
                <w:sz w:val="20"/>
              </w:rPr>
            </w:pPr>
          </w:p>
        </w:tc>
        <w:tc>
          <w:tcPr>
            <w:tcW w:w="720" w:type="dxa"/>
            <w:gridSpan w:val="2"/>
            <w:tcBorders>
              <w:top w:val="single" w:sz="4" w:space="0" w:color="auto"/>
              <w:left w:val="nil"/>
              <w:bottom w:val="nil"/>
              <w:right w:val="nil"/>
            </w:tcBorders>
            <w:vAlign w:val="center"/>
          </w:tcPr>
          <w:p w:rsidR="00301794" w:rsidRPr="005A4426" w:rsidRDefault="00301794" w:rsidP="003A509B">
            <w:pPr>
              <w:spacing w:after="0"/>
              <w:jc w:val="center"/>
              <w:rPr>
                <w:rFonts w:ascii="Times New Roman" w:hAnsi="Times New Roman" w:cs="Times New Roman"/>
                <w:sz w:val="20"/>
              </w:rPr>
            </w:pPr>
          </w:p>
        </w:tc>
        <w:tc>
          <w:tcPr>
            <w:tcW w:w="720" w:type="dxa"/>
            <w:gridSpan w:val="2"/>
            <w:tcBorders>
              <w:top w:val="single" w:sz="4" w:space="0" w:color="auto"/>
              <w:left w:val="nil"/>
              <w:bottom w:val="nil"/>
              <w:right w:val="nil"/>
            </w:tcBorders>
            <w:vAlign w:val="center"/>
          </w:tcPr>
          <w:p w:rsidR="00301794" w:rsidRPr="005A4426" w:rsidRDefault="00301794" w:rsidP="003A509B">
            <w:pPr>
              <w:spacing w:after="0"/>
              <w:jc w:val="center"/>
              <w:rPr>
                <w:rFonts w:ascii="Times New Roman" w:hAnsi="Times New Roman" w:cs="Times New Roman"/>
                <w:sz w:val="20"/>
              </w:rPr>
            </w:pPr>
          </w:p>
        </w:tc>
        <w:tc>
          <w:tcPr>
            <w:tcW w:w="1530" w:type="dxa"/>
            <w:gridSpan w:val="3"/>
            <w:tcBorders>
              <w:left w:val="single" w:sz="4" w:space="0" w:color="auto"/>
            </w:tcBorders>
            <w:vAlign w:val="center"/>
          </w:tcPr>
          <w:p w:rsidR="00301794" w:rsidRPr="004424E9" w:rsidRDefault="00301794" w:rsidP="00405566">
            <w:pPr>
              <w:spacing w:after="0"/>
              <w:jc w:val="center"/>
              <w:rPr>
                <w:rFonts w:ascii="Times New Roman" w:hAnsi="Times New Roman" w:cs="Times New Roman"/>
                <w:b/>
                <w:sz w:val="20"/>
                <w:szCs w:val="18"/>
              </w:rPr>
            </w:pPr>
            <w:r w:rsidRPr="004424E9">
              <w:rPr>
                <w:rFonts w:ascii="Times New Roman" w:hAnsi="Times New Roman" w:cs="Times New Roman"/>
                <w:b/>
                <w:sz w:val="20"/>
                <w:szCs w:val="18"/>
              </w:rPr>
              <w:t>Total</w:t>
            </w:r>
          </w:p>
        </w:tc>
        <w:tc>
          <w:tcPr>
            <w:tcW w:w="900" w:type="dxa"/>
            <w:vAlign w:val="center"/>
          </w:tcPr>
          <w:p w:rsidR="00301794" w:rsidRPr="004424E9" w:rsidRDefault="002527A8" w:rsidP="0009138A">
            <w:pPr>
              <w:spacing w:after="0"/>
              <w:jc w:val="center"/>
              <w:rPr>
                <w:rFonts w:ascii="Times New Roman" w:hAnsi="Times New Roman" w:cs="Times New Roman"/>
                <w:b/>
                <w:sz w:val="20"/>
                <w:szCs w:val="18"/>
              </w:rPr>
            </w:pPr>
            <w:r>
              <w:rPr>
                <w:rFonts w:ascii="Times New Roman" w:hAnsi="Times New Roman" w:cs="Times New Roman"/>
                <w:b/>
                <w:sz w:val="20"/>
                <w:szCs w:val="18"/>
              </w:rPr>
              <w:t>1</w:t>
            </w:r>
            <w:r w:rsidR="0009138A">
              <w:rPr>
                <w:rFonts w:ascii="Times New Roman" w:hAnsi="Times New Roman" w:cs="Times New Roman"/>
                <w:b/>
                <w:sz w:val="20"/>
                <w:szCs w:val="18"/>
              </w:rPr>
              <w:t>1</w:t>
            </w:r>
            <w:r w:rsidR="00A659B6">
              <w:rPr>
                <w:rFonts w:ascii="Times New Roman" w:hAnsi="Times New Roman" w:cs="Times New Roman"/>
                <w:b/>
                <w:sz w:val="20"/>
                <w:szCs w:val="18"/>
              </w:rPr>
              <w:t>4</w:t>
            </w:r>
            <w:r w:rsidR="00301794" w:rsidRPr="004424E9">
              <w:rPr>
                <w:rFonts w:ascii="Times New Roman" w:hAnsi="Times New Roman" w:cs="Times New Roman"/>
                <w:b/>
                <w:sz w:val="20"/>
                <w:szCs w:val="18"/>
              </w:rPr>
              <w:t>.000</w:t>
            </w:r>
          </w:p>
        </w:tc>
      </w:tr>
    </w:tbl>
    <w:p w:rsidR="00252D7E" w:rsidRDefault="001A7E25" w:rsidP="005D209C">
      <w:pPr>
        <w:pStyle w:val="ListParagraph"/>
        <w:numPr>
          <w:ilvl w:val="0"/>
          <w:numId w:val="2"/>
        </w:numPr>
        <w:tabs>
          <w:tab w:val="left" w:pos="1440"/>
          <w:tab w:val="left" w:pos="3060"/>
        </w:tabs>
        <w:jc w:val="center"/>
        <w:outlineLvl w:val="0"/>
        <w:rPr>
          <w:rFonts w:ascii="Times New Roman" w:hAnsi="Times New Roman"/>
          <w:b/>
          <w:smallCaps/>
          <w:sz w:val="28"/>
          <w:szCs w:val="28"/>
        </w:rPr>
      </w:pPr>
      <w:bookmarkStart w:id="19" w:name="_Toc375150061"/>
      <w:r>
        <w:rPr>
          <w:rFonts w:ascii="Times New Roman" w:hAnsi="Times New Roman"/>
          <w:b/>
          <w:smallCaps/>
          <w:sz w:val="28"/>
          <w:szCs w:val="28"/>
        </w:rPr>
        <w:t>EVALUATION</w:t>
      </w:r>
      <w:bookmarkEnd w:id="19"/>
    </w:p>
    <w:p w:rsidR="00416033" w:rsidRPr="004424E9" w:rsidRDefault="00416033">
      <w:pPr>
        <w:pStyle w:val="ListParagraph"/>
        <w:tabs>
          <w:tab w:val="left" w:pos="1440"/>
          <w:tab w:val="left" w:pos="3060"/>
        </w:tabs>
        <w:ind w:left="1425"/>
        <w:outlineLvl w:val="0"/>
        <w:rPr>
          <w:rFonts w:ascii="Times New Roman" w:hAnsi="Times New Roman"/>
          <w:b/>
          <w:smallCaps/>
          <w:sz w:val="28"/>
          <w:szCs w:val="28"/>
        </w:rPr>
      </w:pPr>
    </w:p>
    <w:p w:rsidR="001A7E25" w:rsidRPr="004424E9" w:rsidRDefault="001A7E25" w:rsidP="004424E9">
      <w:pPr>
        <w:pStyle w:val="ListParagraph"/>
        <w:numPr>
          <w:ilvl w:val="0"/>
          <w:numId w:val="42"/>
        </w:numPr>
        <w:tabs>
          <w:tab w:val="left" w:pos="1440"/>
          <w:tab w:val="left" w:pos="3060"/>
        </w:tabs>
        <w:contextualSpacing w:val="0"/>
        <w:outlineLvl w:val="0"/>
        <w:rPr>
          <w:rFonts w:ascii="Times New Roman Bold" w:hAnsi="Times New Roman Bold" w:cs="Times New Roman"/>
          <w:b/>
          <w:smallCaps/>
          <w:noProof/>
          <w:sz w:val="28"/>
          <w:szCs w:val="28"/>
        </w:rPr>
      </w:pPr>
      <w:bookmarkStart w:id="20" w:name="_Toc375150062"/>
      <w:r w:rsidRPr="004424E9">
        <w:rPr>
          <w:rFonts w:ascii="Times New Roman Bold" w:hAnsi="Times New Roman Bold" w:cs="Times New Roman"/>
          <w:b/>
          <w:smallCaps/>
          <w:noProof/>
          <w:sz w:val="28"/>
          <w:szCs w:val="28"/>
        </w:rPr>
        <w:t>Main Evaluation Question(s)</w:t>
      </w:r>
      <w:bookmarkEnd w:id="20"/>
    </w:p>
    <w:p w:rsidR="00463B31" w:rsidRPr="00463B31" w:rsidRDefault="00463B31" w:rsidP="005D209C">
      <w:pPr>
        <w:pStyle w:val="ListParagraph"/>
        <w:keepNext/>
        <w:numPr>
          <w:ilvl w:val="0"/>
          <w:numId w:val="6"/>
        </w:numPr>
        <w:spacing w:before="240" w:after="240" w:line="240" w:lineRule="auto"/>
        <w:contextualSpacing w:val="0"/>
        <w:jc w:val="center"/>
        <w:outlineLvl w:val="0"/>
        <w:rPr>
          <w:rFonts w:ascii="Times New Roman Bold" w:eastAsia="Times New Roman" w:hAnsi="Times New Roman Bold" w:cs="Times New Roman"/>
          <w:b/>
          <w:smallCaps/>
          <w:noProof/>
          <w:vanish/>
          <w:sz w:val="28"/>
          <w:szCs w:val="20"/>
          <w:lang w:val="es-ES" w:eastAsia="es-ES"/>
        </w:rPr>
      </w:pPr>
      <w:bookmarkStart w:id="21" w:name="_Toc375062483"/>
      <w:bookmarkStart w:id="22" w:name="_Toc375062514"/>
      <w:bookmarkStart w:id="23" w:name="_Toc375062596"/>
      <w:bookmarkStart w:id="24" w:name="_Toc375066798"/>
      <w:bookmarkStart w:id="25" w:name="_Toc375126120"/>
      <w:bookmarkStart w:id="26" w:name="_Toc375126298"/>
      <w:bookmarkStart w:id="27" w:name="_Toc375146674"/>
      <w:bookmarkStart w:id="28" w:name="_Toc375150063"/>
      <w:bookmarkEnd w:id="21"/>
      <w:bookmarkEnd w:id="22"/>
      <w:bookmarkEnd w:id="23"/>
      <w:bookmarkEnd w:id="24"/>
      <w:bookmarkEnd w:id="25"/>
      <w:bookmarkEnd w:id="26"/>
      <w:bookmarkEnd w:id="27"/>
      <w:bookmarkEnd w:id="28"/>
    </w:p>
    <w:p w:rsidR="00B6374F" w:rsidRPr="008938B6" w:rsidRDefault="00937D90" w:rsidP="002D2B95">
      <w:pPr>
        <w:pStyle w:val="AutoNumpara"/>
        <w:rPr>
          <w:lang w:val="en-US"/>
        </w:rPr>
      </w:pPr>
      <w:r w:rsidRPr="00772BBF">
        <w:rPr>
          <w:lang w:val="en-US"/>
        </w:rPr>
        <w:t>Th</w:t>
      </w:r>
      <w:r w:rsidR="002527A8" w:rsidRPr="008938B6">
        <w:rPr>
          <w:lang w:val="en-US"/>
        </w:rPr>
        <w:t>is</w:t>
      </w:r>
      <w:r w:rsidRPr="004424E9">
        <w:rPr>
          <w:lang w:val="en-US"/>
        </w:rPr>
        <w:t xml:space="preserve"> </w:t>
      </w:r>
      <w:r w:rsidR="002527A8" w:rsidRPr="004424E9">
        <w:rPr>
          <w:lang w:val="en-US"/>
        </w:rPr>
        <w:t>section</w:t>
      </w:r>
      <w:r w:rsidRPr="004424E9">
        <w:rPr>
          <w:lang w:val="en-US"/>
        </w:rPr>
        <w:t xml:space="preserve"> aims at </w:t>
      </w:r>
      <w:r w:rsidR="002527A8" w:rsidRPr="004424E9">
        <w:rPr>
          <w:lang w:val="en-US"/>
        </w:rPr>
        <w:t>proposin</w:t>
      </w:r>
      <w:r w:rsidR="00865ECA" w:rsidRPr="004424E9">
        <w:rPr>
          <w:lang w:val="en-US"/>
        </w:rPr>
        <w:t>g</w:t>
      </w:r>
      <w:r w:rsidR="002527A8" w:rsidRPr="004424E9">
        <w:rPr>
          <w:lang w:val="en-US"/>
        </w:rPr>
        <w:t xml:space="preserve"> a plan to carry out an evaluation of the impact of the program</w:t>
      </w:r>
      <w:r w:rsidRPr="004424E9">
        <w:rPr>
          <w:lang w:val="en-US"/>
        </w:rPr>
        <w:t>.</w:t>
      </w:r>
      <w:r w:rsidR="00865ECA">
        <w:rPr>
          <w:lang w:val="en-US"/>
        </w:rPr>
        <w:t xml:space="preserve"> T</w:t>
      </w:r>
      <w:r w:rsidR="00EC16D3" w:rsidRPr="008938B6">
        <w:rPr>
          <w:lang w:val="en-US"/>
        </w:rPr>
        <w:t>he main evaluation question</w:t>
      </w:r>
      <w:r w:rsidR="00D53B5C" w:rsidRPr="00865ECA">
        <w:rPr>
          <w:lang w:val="en-US"/>
        </w:rPr>
        <w:t>s</w:t>
      </w:r>
      <w:r w:rsidR="00772BBF">
        <w:rPr>
          <w:lang w:val="en-US"/>
        </w:rPr>
        <w:t xml:space="preserve"> </w:t>
      </w:r>
      <w:r w:rsidR="00865ECA">
        <w:rPr>
          <w:lang w:val="en-US"/>
        </w:rPr>
        <w:t>are</w:t>
      </w:r>
      <w:r w:rsidR="00EC16D3" w:rsidRPr="00772BBF">
        <w:rPr>
          <w:lang w:val="en-US"/>
        </w:rPr>
        <w:t xml:space="preserve">: </w:t>
      </w:r>
    </w:p>
    <w:p w:rsidR="00A54BEF" w:rsidRDefault="00B6374F" w:rsidP="00865ECA">
      <w:pPr>
        <w:pStyle w:val="Heading4"/>
        <w:numPr>
          <w:ilvl w:val="2"/>
          <w:numId w:val="27"/>
        </w:numPr>
        <w:tabs>
          <w:tab w:val="clear" w:pos="1440"/>
          <w:tab w:val="clear" w:pos="1800"/>
        </w:tabs>
        <w:ind w:left="1080"/>
        <w:rPr>
          <w:rFonts w:ascii="Times New Roman" w:hAnsi="Times New Roman"/>
          <w:b w:val="0"/>
          <w:spacing w:val="-2"/>
          <w:lang w:val="en-US" w:eastAsia="x-none"/>
        </w:rPr>
      </w:pPr>
      <w:r>
        <w:rPr>
          <w:rFonts w:ascii="Times New Roman" w:hAnsi="Times New Roman"/>
          <w:b w:val="0"/>
          <w:spacing w:val="-2"/>
          <w:lang w:val="en-US" w:eastAsia="x-none"/>
        </w:rPr>
        <w:t xml:space="preserve">How many geothermal projects financed by the program moved </w:t>
      </w:r>
      <w:r w:rsidR="00865ECA">
        <w:rPr>
          <w:rFonts w:ascii="Times New Roman" w:hAnsi="Times New Roman"/>
          <w:b w:val="0"/>
          <w:spacing w:val="-2"/>
          <w:lang w:val="en-US" w:eastAsia="x-none"/>
        </w:rPr>
        <w:t xml:space="preserve">[or are projected to move] from </w:t>
      </w:r>
      <w:r>
        <w:rPr>
          <w:rFonts w:ascii="Times New Roman" w:hAnsi="Times New Roman"/>
          <w:b w:val="0"/>
          <w:spacing w:val="-2"/>
          <w:lang w:val="en-US" w:eastAsia="x-none"/>
        </w:rPr>
        <w:t xml:space="preserve">early exploration </w:t>
      </w:r>
      <w:r w:rsidR="00865ECA">
        <w:rPr>
          <w:rFonts w:ascii="Times New Roman" w:hAnsi="Times New Roman"/>
          <w:b w:val="0"/>
          <w:spacing w:val="-2"/>
          <w:lang w:val="en-US" w:eastAsia="x-none"/>
        </w:rPr>
        <w:t>and</w:t>
      </w:r>
      <w:r>
        <w:rPr>
          <w:rFonts w:ascii="Times New Roman" w:hAnsi="Times New Roman"/>
          <w:b w:val="0"/>
          <w:spacing w:val="-2"/>
          <w:lang w:val="en-US" w:eastAsia="x-none"/>
        </w:rPr>
        <w:t xml:space="preserve"> production drilling</w:t>
      </w:r>
      <w:r w:rsidR="00865ECA">
        <w:rPr>
          <w:rFonts w:ascii="Times New Roman" w:hAnsi="Times New Roman"/>
          <w:b w:val="0"/>
          <w:spacing w:val="-2"/>
          <w:lang w:val="en-US" w:eastAsia="x-none"/>
        </w:rPr>
        <w:t xml:space="preserve"> stages to construction of plants and effective electricity generation</w:t>
      </w:r>
      <w:r>
        <w:rPr>
          <w:rFonts w:ascii="Times New Roman" w:hAnsi="Times New Roman"/>
          <w:b w:val="0"/>
          <w:spacing w:val="-2"/>
          <w:lang w:val="en-US" w:eastAsia="x-none"/>
        </w:rPr>
        <w:t>?</w:t>
      </w:r>
      <w:r w:rsidR="00A54BEF">
        <w:rPr>
          <w:rFonts w:ascii="Times New Roman" w:hAnsi="Times New Roman"/>
          <w:b w:val="0"/>
          <w:spacing w:val="-2"/>
          <w:lang w:val="en-US" w:eastAsia="x-none"/>
        </w:rPr>
        <w:t xml:space="preserve">  </w:t>
      </w:r>
    </w:p>
    <w:p w:rsidR="00612C47" w:rsidRPr="00612C47" w:rsidRDefault="00A54BEF" w:rsidP="00865ECA">
      <w:pPr>
        <w:pStyle w:val="Heading4"/>
        <w:numPr>
          <w:ilvl w:val="2"/>
          <w:numId w:val="27"/>
        </w:numPr>
        <w:tabs>
          <w:tab w:val="clear" w:pos="1440"/>
          <w:tab w:val="clear" w:pos="1800"/>
        </w:tabs>
        <w:ind w:left="1080"/>
        <w:rPr>
          <w:rFonts w:ascii="Times New Roman" w:hAnsi="Times New Roman"/>
          <w:b w:val="0"/>
          <w:spacing w:val="-2"/>
          <w:lang w:val="en-US" w:eastAsia="x-none"/>
        </w:rPr>
      </w:pPr>
      <w:r>
        <w:rPr>
          <w:rFonts w:ascii="Times New Roman" w:hAnsi="Times New Roman"/>
          <w:b w:val="0"/>
          <w:spacing w:val="-2"/>
          <w:lang w:val="en-US" w:eastAsia="x-none"/>
        </w:rPr>
        <w:t xml:space="preserve">What is the electricity production </w:t>
      </w:r>
      <w:r w:rsidR="00865ECA">
        <w:rPr>
          <w:rFonts w:ascii="Times New Roman" w:hAnsi="Times New Roman"/>
          <w:b w:val="0"/>
          <w:spacing w:val="-2"/>
          <w:lang w:val="en-US" w:eastAsia="x-none"/>
        </w:rPr>
        <w:t xml:space="preserve">[current and projected] </w:t>
      </w:r>
      <w:r>
        <w:rPr>
          <w:rFonts w:ascii="Times New Roman" w:hAnsi="Times New Roman"/>
          <w:b w:val="0"/>
          <w:spacing w:val="-2"/>
          <w:lang w:val="en-US" w:eastAsia="x-none"/>
        </w:rPr>
        <w:t>from geothermal projects financed at some stage by the program</w:t>
      </w:r>
      <w:r w:rsidR="00E569AB">
        <w:rPr>
          <w:rFonts w:ascii="Times New Roman" w:hAnsi="Times New Roman"/>
          <w:b w:val="0"/>
          <w:spacing w:val="-2"/>
          <w:lang w:val="en-US" w:eastAsia="x-none"/>
        </w:rPr>
        <w:t xml:space="preserve">? </w:t>
      </w:r>
    </w:p>
    <w:p w:rsidR="00BE6315" w:rsidRPr="004424E9" w:rsidRDefault="00A54BEF" w:rsidP="00865ECA">
      <w:pPr>
        <w:pStyle w:val="Heading4"/>
        <w:numPr>
          <w:ilvl w:val="2"/>
          <w:numId w:val="27"/>
        </w:numPr>
        <w:tabs>
          <w:tab w:val="clear" w:pos="1440"/>
          <w:tab w:val="clear" w:pos="1800"/>
        </w:tabs>
        <w:ind w:left="1080"/>
        <w:rPr>
          <w:rFonts w:ascii="Times New Roman" w:hAnsi="Times New Roman"/>
          <w:b w:val="0"/>
          <w:spacing w:val="-2"/>
          <w:lang w:val="en-US" w:eastAsia="x-none"/>
        </w:rPr>
      </w:pPr>
      <w:r w:rsidRPr="00A54BEF">
        <w:rPr>
          <w:rFonts w:ascii="Times New Roman" w:hAnsi="Times New Roman"/>
          <w:b w:val="0"/>
          <w:spacing w:val="-2"/>
          <w:lang w:val="en-US" w:eastAsia="x-none"/>
        </w:rPr>
        <w:t xml:space="preserve">What </w:t>
      </w:r>
      <w:r w:rsidR="00865ECA">
        <w:rPr>
          <w:rFonts w:ascii="Times New Roman" w:hAnsi="Times New Roman"/>
          <w:b w:val="0"/>
          <w:spacing w:val="-2"/>
          <w:lang w:val="en-US" w:eastAsia="x-none"/>
        </w:rPr>
        <w:t>is the impact of the program in therms of</w:t>
      </w:r>
      <w:r w:rsidRPr="00A54BEF">
        <w:rPr>
          <w:rFonts w:ascii="Times New Roman" w:hAnsi="Times New Roman"/>
          <w:b w:val="0"/>
          <w:spacing w:val="-2"/>
          <w:lang w:val="en-US" w:eastAsia="x-none"/>
        </w:rPr>
        <w:t xml:space="preserve"> </w:t>
      </w:r>
      <w:r w:rsidRPr="004424E9">
        <w:rPr>
          <w:rFonts w:ascii="Times New Roman" w:hAnsi="Times New Roman"/>
          <w:b w:val="0"/>
          <w:spacing w:val="-2"/>
          <w:lang w:val="en-US" w:eastAsia="x-none"/>
        </w:rPr>
        <w:t xml:space="preserve">Greenhouse gas (GHG) emissions avoided </w:t>
      </w:r>
      <w:r w:rsidR="00865ECA">
        <w:rPr>
          <w:rFonts w:ascii="Times New Roman" w:hAnsi="Times New Roman"/>
          <w:b w:val="0"/>
          <w:spacing w:val="-2"/>
          <w:lang w:val="en-US" w:eastAsia="x-none"/>
        </w:rPr>
        <w:t xml:space="preserve">and energy cost-savings </w:t>
      </w:r>
      <w:r w:rsidRPr="004424E9">
        <w:rPr>
          <w:rFonts w:ascii="Times New Roman" w:hAnsi="Times New Roman"/>
          <w:b w:val="0"/>
          <w:spacing w:val="-2"/>
          <w:lang w:val="en-US" w:eastAsia="x-none"/>
        </w:rPr>
        <w:t>by geothermal projects financed at some stage by the program</w:t>
      </w:r>
      <w:r w:rsidR="00BE6315">
        <w:rPr>
          <w:rFonts w:ascii="Times New Roman" w:hAnsi="Times New Roman"/>
          <w:b w:val="0"/>
          <w:spacing w:val="-2"/>
          <w:lang w:val="en-US" w:eastAsia="x-none"/>
        </w:rPr>
        <w:t>?</w:t>
      </w:r>
    </w:p>
    <w:p w:rsidR="00BE6315" w:rsidRPr="004424E9" w:rsidRDefault="00865ECA" w:rsidP="00865ECA">
      <w:pPr>
        <w:pStyle w:val="Heading4"/>
        <w:numPr>
          <w:ilvl w:val="2"/>
          <w:numId w:val="27"/>
        </w:numPr>
        <w:tabs>
          <w:tab w:val="clear" w:pos="1440"/>
          <w:tab w:val="clear" w:pos="1800"/>
        </w:tabs>
        <w:ind w:left="1080"/>
        <w:rPr>
          <w:rFonts w:ascii="Times New Roman" w:hAnsi="Times New Roman"/>
          <w:b w:val="0"/>
          <w:spacing w:val="-2"/>
          <w:lang w:val="en-US" w:eastAsia="x-none"/>
        </w:rPr>
      </w:pPr>
      <w:r>
        <w:rPr>
          <w:rFonts w:ascii="Times New Roman" w:hAnsi="Times New Roman"/>
          <w:b w:val="0"/>
          <w:spacing w:val="-2"/>
          <w:lang w:val="en-US" w:eastAsia="x-none"/>
        </w:rPr>
        <w:t>How much additional resources</w:t>
      </w:r>
      <w:r w:rsidR="00BE6315" w:rsidRPr="004424E9">
        <w:rPr>
          <w:rFonts w:ascii="Times New Roman" w:hAnsi="Times New Roman"/>
          <w:b w:val="0"/>
          <w:spacing w:val="-2"/>
          <w:lang w:val="en-US" w:eastAsia="x-none"/>
        </w:rPr>
        <w:t xml:space="preserve"> </w:t>
      </w:r>
      <w:r>
        <w:rPr>
          <w:rFonts w:ascii="Times New Roman" w:hAnsi="Times New Roman"/>
          <w:b w:val="0"/>
          <w:spacing w:val="-2"/>
          <w:lang w:val="en-US" w:eastAsia="x-none"/>
        </w:rPr>
        <w:t xml:space="preserve">(public and private) was the program able to leverage in the development of </w:t>
      </w:r>
      <w:r w:rsidR="00BE6315" w:rsidRPr="004424E9">
        <w:rPr>
          <w:rFonts w:ascii="Times New Roman" w:hAnsi="Times New Roman"/>
          <w:b w:val="0"/>
          <w:spacing w:val="-2"/>
          <w:lang w:val="en-US" w:eastAsia="x-none"/>
        </w:rPr>
        <w:t>geothermal projects financed at some stage by the program</w:t>
      </w:r>
      <w:r w:rsidR="00BE6315">
        <w:rPr>
          <w:rFonts w:ascii="Times New Roman" w:hAnsi="Times New Roman"/>
          <w:b w:val="0"/>
          <w:spacing w:val="-2"/>
          <w:lang w:val="en-US" w:eastAsia="x-none"/>
        </w:rPr>
        <w:t xml:space="preserve">? </w:t>
      </w:r>
    </w:p>
    <w:p w:rsidR="00937D90" w:rsidRPr="004424E9" w:rsidRDefault="00772BBF" w:rsidP="004424E9">
      <w:pPr>
        <w:pStyle w:val="AutoNumpara"/>
        <w:rPr>
          <w:b/>
          <w:lang w:val="en-GB"/>
        </w:rPr>
      </w:pPr>
      <w:r>
        <w:rPr>
          <w:lang w:val="en-US"/>
        </w:rPr>
        <w:t>T</w:t>
      </w:r>
      <w:r w:rsidR="001A4410" w:rsidRPr="001203BD">
        <w:rPr>
          <w:lang w:val="en-US"/>
        </w:rPr>
        <w:t xml:space="preserve">he evaluation of the program </w:t>
      </w:r>
      <w:r>
        <w:rPr>
          <w:lang w:val="en-US"/>
        </w:rPr>
        <w:t xml:space="preserve">will </w:t>
      </w:r>
      <w:r w:rsidR="001A4410" w:rsidRPr="001203BD">
        <w:rPr>
          <w:lang w:val="en-US"/>
        </w:rPr>
        <w:t xml:space="preserve">seek to measure the </w:t>
      </w:r>
      <w:r w:rsidR="001A4410">
        <w:rPr>
          <w:lang w:val="en-US"/>
        </w:rPr>
        <w:t>economic result</w:t>
      </w:r>
      <w:r>
        <w:rPr>
          <w:lang w:val="en-US"/>
        </w:rPr>
        <w:t>s</w:t>
      </w:r>
      <w:r w:rsidR="001A4410">
        <w:rPr>
          <w:lang w:val="en-US"/>
        </w:rPr>
        <w:t xml:space="preserve"> </w:t>
      </w:r>
      <w:r w:rsidR="001A4410" w:rsidRPr="001203BD">
        <w:rPr>
          <w:lang w:val="en-US"/>
        </w:rPr>
        <w:t xml:space="preserve">of its </w:t>
      </w:r>
      <w:r w:rsidR="001A4410" w:rsidRPr="001A4410">
        <w:rPr>
          <w:lang w:val="en-US"/>
        </w:rPr>
        <w:t xml:space="preserve">implementation </w:t>
      </w:r>
      <w:r>
        <w:rPr>
          <w:lang w:val="en-US"/>
        </w:rPr>
        <w:t>with regards to both</w:t>
      </w:r>
      <w:r w:rsidR="001A4410" w:rsidRPr="001A4410">
        <w:rPr>
          <w:lang w:val="en-US"/>
        </w:rPr>
        <w:t xml:space="preserve"> the size of the induced investment and the benefits of the technology. </w:t>
      </w:r>
      <w:r w:rsidR="00477129" w:rsidRPr="001A4410">
        <w:rPr>
          <w:lang w:val="en-US"/>
        </w:rPr>
        <w:t>To this end, the e</w:t>
      </w:r>
      <w:r w:rsidR="00937D90" w:rsidRPr="001A4410">
        <w:rPr>
          <w:lang w:val="en-US"/>
        </w:rPr>
        <w:t>valuation will use a</w:t>
      </w:r>
      <w:r w:rsidR="00477129" w:rsidRPr="001A4410">
        <w:rPr>
          <w:lang w:val="en-US"/>
        </w:rPr>
        <w:t xml:space="preserve">n </w:t>
      </w:r>
      <w:r w:rsidR="000569FD" w:rsidRPr="001A4410">
        <w:rPr>
          <w:lang w:val="en-US"/>
        </w:rPr>
        <w:t xml:space="preserve">ex-post </w:t>
      </w:r>
      <w:r w:rsidR="00477129" w:rsidRPr="001A4410">
        <w:rPr>
          <w:lang w:val="en-US"/>
        </w:rPr>
        <w:t xml:space="preserve">economic analysis </w:t>
      </w:r>
      <w:r>
        <w:rPr>
          <w:lang w:val="en-US"/>
        </w:rPr>
        <w:t>following the methodology used for the ex-ante economic analysis linked to the program proposal</w:t>
      </w:r>
      <w:r>
        <w:rPr>
          <w:lang w:val="en-GB"/>
        </w:rPr>
        <w:t xml:space="preserve">. </w:t>
      </w:r>
      <w:r w:rsidR="00937D90" w:rsidRPr="00772BBF">
        <w:rPr>
          <w:lang w:val="en-GB"/>
        </w:rPr>
        <w:t xml:space="preserve">The </w:t>
      </w:r>
      <w:r>
        <w:rPr>
          <w:lang w:val="en-GB"/>
        </w:rPr>
        <w:t>s</w:t>
      </w:r>
      <w:r w:rsidR="00937D90" w:rsidRPr="00772BBF">
        <w:rPr>
          <w:lang w:val="en-GB"/>
        </w:rPr>
        <w:t>ystem will use in situ measurement</w:t>
      </w:r>
      <w:r w:rsidR="00D732D3" w:rsidRPr="008938B6">
        <w:rPr>
          <w:lang w:val="en-GB"/>
        </w:rPr>
        <w:t xml:space="preserve">s in an annual basis </w:t>
      </w:r>
      <w:r w:rsidR="007B0619" w:rsidRPr="00ED065C">
        <w:rPr>
          <w:lang w:val="en-GB"/>
        </w:rPr>
        <w:t xml:space="preserve">during the six </w:t>
      </w:r>
      <w:r w:rsidR="00C11038" w:rsidRPr="00ED065C">
        <w:rPr>
          <w:lang w:val="en-GB"/>
        </w:rPr>
        <w:t xml:space="preserve">years after the </w:t>
      </w:r>
      <w:r w:rsidR="007B0619" w:rsidRPr="00ED065C">
        <w:rPr>
          <w:lang w:val="en-GB"/>
        </w:rPr>
        <w:t xml:space="preserve">first </w:t>
      </w:r>
      <w:r w:rsidR="00C11038" w:rsidRPr="002C4004">
        <w:rPr>
          <w:lang w:val="en-GB"/>
        </w:rPr>
        <w:t xml:space="preserve">disbursement. </w:t>
      </w:r>
      <w:r w:rsidR="007B0619" w:rsidRPr="002C4004">
        <w:rPr>
          <w:lang w:val="en-GB"/>
        </w:rPr>
        <w:t xml:space="preserve">After </w:t>
      </w:r>
      <w:r w:rsidR="00C11038" w:rsidRPr="002C4004">
        <w:rPr>
          <w:lang w:val="en-GB"/>
        </w:rPr>
        <w:t xml:space="preserve">this, </w:t>
      </w:r>
      <w:r w:rsidR="007B0619" w:rsidRPr="00A13A12">
        <w:rPr>
          <w:lang w:val="en-GB"/>
        </w:rPr>
        <w:t>projection</w:t>
      </w:r>
      <w:r>
        <w:rPr>
          <w:lang w:val="en-GB"/>
        </w:rPr>
        <w:t xml:space="preserve">s on the expected results will be made </w:t>
      </w:r>
      <w:r w:rsidR="007B0619" w:rsidRPr="00ED065C">
        <w:rPr>
          <w:lang w:val="en-GB"/>
        </w:rPr>
        <w:t>based on the collected data</w:t>
      </w:r>
      <w:r>
        <w:rPr>
          <w:rStyle w:val="FootnoteReference"/>
          <w:lang w:val="en-GB"/>
        </w:rPr>
        <w:footnoteReference w:id="8"/>
      </w:r>
      <w:r w:rsidR="007B0619" w:rsidRPr="008938B6">
        <w:rPr>
          <w:lang w:val="en-GB"/>
        </w:rPr>
        <w:t xml:space="preserve">. </w:t>
      </w:r>
    </w:p>
    <w:p w:rsidR="009B0DED" w:rsidRPr="004424E9" w:rsidRDefault="00937D90" w:rsidP="004424E9">
      <w:pPr>
        <w:pStyle w:val="AutoNumpara"/>
        <w:rPr>
          <w:lang w:val="en-US"/>
        </w:rPr>
      </w:pPr>
      <w:r w:rsidRPr="004424E9">
        <w:rPr>
          <w:lang w:val="en-US"/>
        </w:rPr>
        <w:t>The results will be compared to a baseline value (see further details on the Results Matrix and the Monitoring section of this document).</w:t>
      </w:r>
    </w:p>
    <w:p w:rsidR="00937D90" w:rsidRPr="004424E9" w:rsidRDefault="001A7E25" w:rsidP="004424E9">
      <w:pPr>
        <w:pStyle w:val="ListParagraph"/>
        <w:numPr>
          <w:ilvl w:val="0"/>
          <w:numId w:val="42"/>
        </w:numPr>
        <w:tabs>
          <w:tab w:val="left" w:pos="1440"/>
          <w:tab w:val="left" w:pos="3060"/>
        </w:tabs>
        <w:outlineLvl w:val="0"/>
        <w:rPr>
          <w:rFonts w:ascii="Times New Roman Bold" w:hAnsi="Times New Roman Bold" w:cs="Times New Roman"/>
          <w:b/>
          <w:smallCaps/>
          <w:noProof/>
          <w:sz w:val="28"/>
          <w:szCs w:val="28"/>
        </w:rPr>
      </w:pPr>
      <w:bookmarkStart w:id="29" w:name="_Toc375150064"/>
      <w:r w:rsidRPr="004424E9">
        <w:rPr>
          <w:rFonts w:ascii="Times New Roman Bold" w:hAnsi="Times New Roman Bold" w:cs="Times New Roman"/>
          <w:b/>
          <w:smallCaps/>
          <w:noProof/>
          <w:sz w:val="28"/>
          <w:szCs w:val="28"/>
        </w:rPr>
        <w:t>Existing Knowledge</w:t>
      </w:r>
      <w:bookmarkEnd w:id="29"/>
    </w:p>
    <w:p w:rsidR="00CB6CD3" w:rsidRPr="004424E9" w:rsidRDefault="00CB6CD3" w:rsidP="00CB6CD3">
      <w:pPr>
        <w:pStyle w:val="AutoNumpara"/>
        <w:rPr>
          <w:lang w:val="en-US"/>
        </w:rPr>
      </w:pPr>
      <w:r w:rsidRPr="00CB6CD3">
        <w:rPr>
          <w:lang w:val="en-US"/>
        </w:rPr>
        <w:t xml:space="preserve">There are several documents that have been developed in recent years focused on the development of </w:t>
      </w:r>
      <w:r>
        <w:rPr>
          <w:lang w:val="en-US"/>
        </w:rPr>
        <w:t>geothermal energy</w:t>
      </w:r>
      <w:r w:rsidRPr="00CB6CD3">
        <w:rPr>
          <w:lang w:val="en-US"/>
        </w:rPr>
        <w:t xml:space="preserve"> in Mexico and </w:t>
      </w:r>
      <w:r w:rsidR="006852A4">
        <w:rPr>
          <w:lang w:val="en-US"/>
        </w:rPr>
        <w:t>its</w:t>
      </w:r>
      <w:r w:rsidR="006852A4" w:rsidRPr="00CB6CD3">
        <w:rPr>
          <w:lang w:val="en-US"/>
        </w:rPr>
        <w:t xml:space="preserve"> </w:t>
      </w:r>
      <w:r w:rsidRPr="00CB6CD3">
        <w:rPr>
          <w:lang w:val="en-US"/>
        </w:rPr>
        <w:t xml:space="preserve">enormous potential. Among these, </w:t>
      </w:r>
      <w:r w:rsidR="006852A4">
        <w:rPr>
          <w:lang w:val="en-US"/>
        </w:rPr>
        <w:t xml:space="preserve">the </w:t>
      </w:r>
      <w:r w:rsidRPr="00CB6CD3">
        <w:rPr>
          <w:lang w:val="en-US"/>
        </w:rPr>
        <w:t>“</w:t>
      </w:r>
      <w:r w:rsidRPr="004424E9">
        <w:rPr>
          <w:i/>
          <w:lang w:val="en-US"/>
        </w:rPr>
        <w:t>Evaluación de la Energía Geotérmica en México</w:t>
      </w:r>
      <w:r w:rsidRPr="00CB6CD3">
        <w:rPr>
          <w:lang w:val="en-US"/>
        </w:rPr>
        <w:t xml:space="preserve">” </w:t>
      </w:r>
      <w:r w:rsidR="00E75694">
        <w:rPr>
          <w:lang w:val="en-US"/>
        </w:rPr>
        <w:t xml:space="preserve">(CFE-BID, 2011) </w:t>
      </w:r>
      <w:r w:rsidRPr="00CB6CD3">
        <w:rPr>
          <w:lang w:val="en-US"/>
        </w:rPr>
        <w:t xml:space="preserve">makes an exhaustive analysis of the potential for </w:t>
      </w:r>
      <w:r>
        <w:rPr>
          <w:lang w:val="en-US"/>
        </w:rPr>
        <w:t xml:space="preserve">geothermal energy and </w:t>
      </w:r>
      <w:r w:rsidR="00E75694">
        <w:rPr>
          <w:lang w:val="en-US"/>
        </w:rPr>
        <w:t>the</w:t>
      </w:r>
      <w:r>
        <w:rPr>
          <w:lang w:val="en-US"/>
        </w:rPr>
        <w:t xml:space="preserve"> legal aspects to its development in Mexico</w:t>
      </w:r>
      <w:r w:rsidR="00E75694">
        <w:rPr>
          <w:lang w:val="en-US"/>
        </w:rPr>
        <w:t xml:space="preserve">. </w:t>
      </w:r>
      <w:r w:rsidR="00E75694" w:rsidRPr="004424E9">
        <w:rPr>
          <w:lang w:val="en-US"/>
        </w:rPr>
        <w:t>Also</w:t>
      </w:r>
      <w:r w:rsidR="006852A4">
        <w:rPr>
          <w:lang w:val="en-US"/>
        </w:rPr>
        <w:t>,</w:t>
      </w:r>
      <w:r w:rsidR="00E75694" w:rsidRPr="004424E9">
        <w:rPr>
          <w:lang w:val="en-US"/>
        </w:rPr>
        <w:t xml:space="preserve"> relevant</w:t>
      </w:r>
      <w:r w:rsidR="006852A4" w:rsidRPr="004424E9">
        <w:rPr>
          <w:lang w:val="en-US"/>
        </w:rPr>
        <w:t xml:space="preserve"> information required to evaluate the benefits of these projects </w:t>
      </w:r>
      <w:r w:rsidR="006852A4">
        <w:rPr>
          <w:lang w:val="en-US"/>
        </w:rPr>
        <w:t>can be found in</w:t>
      </w:r>
      <w:r w:rsidR="00E75694" w:rsidRPr="004424E9">
        <w:rPr>
          <w:lang w:val="en-US"/>
        </w:rPr>
        <w:t xml:space="preserve"> </w:t>
      </w:r>
      <w:r w:rsidR="006E1A2E" w:rsidRPr="004424E9">
        <w:rPr>
          <w:lang w:val="en-US"/>
        </w:rPr>
        <w:t xml:space="preserve">the </w:t>
      </w:r>
      <w:r w:rsidR="00E75694" w:rsidRPr="004424E9">
        <w:rPr>
          <w:lang w:val="en-US"/>
        </w:rPr>
        <w:t>document "</w:t>
      </w:r>
      <w:r w:rsidR="00E75694" w:rsidRPr="004424E9">
        <w:rPr>
          <w:i/>
          <w:lang w:val="en-US"/>
        </w:rPr>
        <w:t>Costos y Parámetros de Referencia para la Formulación de Proyectos de Inversión del Sector Eléctrico</w:t>
      </w:r>
      <w:r w:rsidR="006E1A2E" w:rsidRPr="004424E9">
        <w:rPr>
          <w:lang w:val="en-US"/>
        </w:rPr>
        <w:t>" (CFE, 2012)</w:t>
      </w:r>
      <w:r w:rsidRPr="004424E9">
        <w:rPr>
          <w:lang w:val="en-US"/>
        </w:rPr>
        <w:t>, which in</w:t>
      </w:r>
      <w:r w:rsidR="00E75694" w:rsidRPr="004424E9">
        <w:rPr>
          <w:lang w:val="en-US"/>
        </w:rPr>
        <w:t xml:space="preserve">cludes the </w:t>
      </w:r>
      <w:r w:rsidR="006852A4">
        <w:rPr>
          <w:lang w:val="en-US"/>
        </w:rPr>
        <w:t>levelized</w:t>
      </w:r>
      <w:r w:rsidR="006852A4" w:rsidRPr="004424E9">
        <w:rPr>
          <w:lang w:val="en-US"/>
        </w:rPr>
        <w:t xml:space="preserve"> </w:t>
      </w:r>
      <w:r w:rsidR="00E75694" w:rsidRPr="004424E9">
        <w:rPr>
          <w:lang w:val="en-US"/>
        </w:rPr>
        <w:t>costs of energy in Mexico</w:t>
      </w:r>
      <w:r w:rsidR="006852A4">
        <w:rPr>
          <w:lang w:val="en-US"/>
        </w:rPr>
        <w:t>, and is updated periodically to adjust for relevant changes in prices and technologies</w:t>
      </w:r>
      <w:r w:rsidR="00E75694" w:rsidRPr="004424E9">
        <w:rPr>
          <w:lang w:val="en-US"/>
        </w:rPr>
        <w:t xml:space="preserve">.  </w:t>
      </w:r>
    </w:p>
    <w:p w:rsidR="00E75694" w:rsidRPr="00E75694" w:rsidRDefault="00E75694" w:rsidP="00E75694">
      <w:pPr>
        <w:pStyle w:val="AutoNumpara"/>
        <w:rPr>
          <w:lang w:val="en-US"/>
        </w:rPr>
      </w:pPr>
      <w:r>
        <w:rPr>
          <w:lang w:val="en-US"/>
        </w:rPr>
        <w:t>Besides, geotherm</w:t>
      </w:r>
      <w:r w:rsidR="006852A4">
        <w:rPr>
          <w:lang w:val="en-US"/>
        </w:rPr>
        <w:t>al</w:t>
      </w:r>
      <w:r w:rsidR="009F7166">
        <w:rPr>
          <w:lang w:val="en-US"/>
        </w:rPr>
        <w:t xml:space="preserve"> </w:t>
      </w:r>
      <w:r w:rsidR="006852A4">
        <w:rPr>
          <w:lang w:val="en-US"/>
        </w:rPr>
        <w:t>is</w:t>
      </w:r>
      <w:r w:rsidR="00937D90" w:rsidRPr="009F7166">
        <w:rPr>
          <w:lang w:val="en-US"/>
        </w:rPr>
        <w:t xml:space="preserve"> one of the </w:t>
      </w:r>
      <w:r w:rsidR="006852A4">
        <w:rPr>
          <w:lang w:val="en-US"/>
        </w:rPr>
        <w:t>seven</w:t>
      </w:r>
      <w:r w:rsidR="00937D90" w:rsidRPr="009F7166">
        <w:rPr>
          <w:lang w:val="en-US"/>
        </w:rPr>
        <w:t xml:space="preserve"> areas of intervention underpinned in </w:t>
      </w:r>
      <w:r w:rsidR="006852A4">
        <w:rPr>
          <w:lang w:val="en-US"/>
        </w:rPr>
        <w:t>Mexico’s</w:t>
      </w:r>
      <w:r w:rsidR="006852A4" w:rsidRPr="009F7166">
        <w:rPr>
          <w:lang w:val="en-US"/>
        </w:rPr>
        <w:t xml:space="preserve"> </w:t>
      </w:r>
      <w:r w:rsidR="00937D90" w:rsidRPr="009F7166">
        <w:rPr>
          <w:lang w:val="en-US"/>
        </w:rPr>
        <w:t xml:space="preserve">National Program for the Sustainable Use of Energy, on account of their cost effectiveness. In fact, </w:t>
      </w:r>
      <w:r w:rsidR="006852A4">
        <w:rPr>
          <w:lang w:val="en-US"/>
        </w:rPr>
        <w:t>the energy sector</w:t>
      </w:r>
      <w:r w:rsidR="00937D90" w:rsidRPr="009F7166">
        <w:rPr>
          <w:lang w:val="en-US"/>
        </w:rPr>
        <w:t xml:space="preserve"> represent</w:t>
      </w:r>
      <w:r w:rsidR="006852A4">
        <w:rPr>
          <w:lang w:val="en-US"/>
        </w:rPr>
        <w:t>s</w:t>
      </w:r>
      <w:r w:rsidR="00937D90" w:rsidRPr="009F7166">
        <w:rPr>
          <w:lang w:val="en-US"/>
        </w:rPr>
        <w:t xml:space="preserve"> 60% of the GHG savings potential and imply investment costs by 2030 that are actually lower than the benefits accruing from the savings delivered</w:t>
      </w:r>
      <w:r w:rsidR="009F7166">
        <w:rPr>
          <w:rStyle w:val="FootnoteReference"/>
          <w:lang w:val="en-US"/>
        </w:rPr>
        <w:footnoteReference w:id="9"/>
      </w:r>
      <w:r w:rsidR="009F7166">
        <w:rPr>
          <w:lang w:val="en-US"/>
        </w:rPr>
        <w:t>.</w:t>
      </w:r>
    </w:p>
    <w:p w:rsidR="00937D90" w:rsidRPr="004424E9" w:rsidRDefault="0075638A" w:rsidP="008938B6">
      <w:pPr>
        <w:pStyle w:val="AutoNumpara"/>
        <w:rPr>
          <w:lang w:val="en-US"/>
        </w:rPr>
      </w:pPr>
      <w:r w:rsidRPr="004424E9">
        <w:rPr>
          <w:lang w:val="en-US"/>
        </w:rPr>
        <w:t>The</w:t>
      </w:r>
      <w:r w:rsidR="000B1D03" w:rsidRPr="004424E9">
        <w:rPr>
          <w:lang w:val="en-US"/>
        </w:rPr>
        <w:t xml:space="preserve"> ex ante</w:t>
      </w:r>
      <w:r w:rsidRPr="004424E9">
        <w:rPr>
          <w:lang w:val="en-US"/>
        </w:rPr>
        <w:t xml:space="preserve"> cost-benefit analysis</w:t>
      </w:r>
      <w:r>
        <w:rPr>
          <w:rStyle w:val="FootnoteReference"/>
          <w:lang w:val="en-US"/>
        </w:rPr>
        <w:footnoteReference w:id="10"/>
      </w:r>
      <w:r w:rsidRPr="004424E9">
        <w:rPr>
          <w:lang w:val="en-US"/>
        </w:rPr>
        <w:t xml:space="preserve"> found that the net cash flows discounted at a rate of 12% produce a net present value (NPV) for the program of US</w:t>
      </w:r>
      <w:r w:rsidR="00ED065C">
        <w:rPr>
          <w:lang w:val="en-US"/>
        </w:rPr>
        <w:t>$</w:t>
      </w:r>
      <w:r w:rsidR="00ED065C" w:rsidRPr="004424E9">
        <w:rPr>
          <w:lang w:val="en-US"/>
        </w:rPr>
        <w:t>1</w:t>
      </w:r>
      <w:r w:rsidR="00ED065C">
        <w:rPr>
          <w:lang w:val="en-US"/>
        </w:rPr>
        <w:t>94.53</w:t>
      </w:r>
      <w:r w:rsidRPr="004424E9">
        <w:rPr>
          <w:lang w:val="en-US"/>
        </w:rPr>
        <w:t xml:space="preserve"> million</w:t>
      </w:r>
      <w:r w:rsidR="00E31015" w:rsidRPr="004424E9">
        <w:rPr>
          <w:lang w:val="en-US"/>
        </w:rPr>
        <w:t>. Besides, the cost-efficien</w:t>
      </w:r>
      <w:r w:rsidR="003E41B6" w:rsidRPr="004424E9">
        <w:rPr>
          <w:lang w:val="en-US"/>
        </w:rPr>
        <w:t>c</w:t>
      </w:r>
      <w:r w:rsidR="00E31015" w:rsidRPr="004424E9">
        <w:rPr>
          <w:lang w:val="en-US"/>
        </w:rPr>
        <w:t>y analysis gave a very positive output of the program in terms of mitigation costs of renewable energy technologies</w:t>
      </w:r>
      <w:r w:rsidR="008938B6" w:rsidRPr="004424E9">
        <w:rPr>
          <w:lang w:val="en-US"/>
        </w:rPr>
        <w:t xml:space="preserve">. </w:t>
      </w:r>
      <w:r w:rsidR="008938B6" w:rsidRPr="008938B6">
        <w:rPr>
          <w:lang w:val="en-US"/>
        </w:rPr>
        <w:t>Based on estimated reductions of CO</w:t>
      </w:r>
      <w:r w:rsidR="008938B6" w:rsidRPr="004424E9">
        <w:rPr>
          <w:vertAlign w:val="subscript"/>
          <w:lang w:val="en-US"/>
        </w:rPr>
        <w:t>2</w:t>
      </w:r>
      <w:r w:rsidR="008938B6" w:rsidRPr="008938B6">
        <w:rPr>
          <w:lang w:val="en-US"/>
        </w:rPr>
        <w:t xml:space="preserve"> emissions over the course of a 30 year lifetime of projects financed, and using indicative total resources of US$54.3 million from the CTF, the cost of abatement is estimated at some: (i) US$1.64 per tCO2e considering CTF financing; (ii) US$3.63 considering total program financing (CTF, IDB and local); and (iii) US$36.24 when all project investment costs are considered</w:t>
      </w:r>
      <w:r w:rsidR="00E31015" w:rsidRPr="004424E9">
        <w:rPr>
          <w:lang w:val="en-US"/>
        </w:rPr>
        <w:t xml:space="preserve">. </w:t>
      </w:r>
    </w:p>
    <w:p w:rsidR="002E0081" w:rsidRDefault="002E0081" w:rsidP="002E0081">
      <w:pPr>
        <w:pStyle w:val="AutoNumpara"/>
        <w:rPr>
          <w:lang w:val="en-US"/>
        </w:rPr>
      </w:pPr>
      <w:r w:rsidRPr="00AA33A0">
        <w:rPr>
          <w:lang w:val="en-US"/>
        </w:rPr>
        <w:t>IDB’s previous experience with development banks in Mexico –specifically NAFIN– in the development of financing solutions for clean energy projects has proven viable and effective with a number of programs under the CCLIP ME-X1006 (ME-L1051, ME-L1081, ME-L1109 y ME-L1119), all of which had objectives related to the support of private sector investment in power generation using renewable sources</w:t>
      </w:r>
      <w:r>
        <w:rPr>
          <w:rStyle w:val="FootnoteReference"/>
        </w:rPr>
        <w:footnoteReference w:id="11"/>
      </w:r>
      <w:r w:rsidRPr="00AA33A0">
        <w:rPr>
          <w:lang w:val="en-US"/>
        </w:rPr>
        <w:t>.</w:t>
      </w:r>
    </w:p>
    <w:p w:rsidR="002E0081" w:rsidRPr="00720E03" w:rsidRDefault="002E0081" w:rsidP="002E0081">
      <w:pPr>
        <w:pStyle w:val="AutoNumpara"/>
        <w:rPr>
          <w:lang w:val="en-US"/>
        </w:rPr>
      </w:pPr>
      <w:bookmarkStart w:id="30" w:name="_Ref371526691"/>
      <w:bookmarkStart w:id="31" w:name="_Ref370489807"/>
      <w:r w:rsidRPr="00720E03">
        <w:rPr>
          <w:lang w:val="en-US"/>
        </w:rPr>
        <w:t xml:space="preserve">This program is linked to a number of TCs (including ME-T1161, ME-T1164, ME-T1168 and ME-T1089, in execution both by the IDB and by NAFIN) intended to improve the regulatory framework on </w:t>
      </w:r>
      <w:r w:rsidR="008938B6">
        <w:rPr>
          <w:lang w:val="en-US"/>
        </w:rPr>
        <w:t>renewable energy</w:t>
      </w:r>
      <w:r w:rsidRPr="00720E03">
        <w:rPr>
          <w:lang w:val="en-US"/>
        </w:rPr>
        <w:t xml:space="preserve"> –and geothermal specifically–, as well as to expand the diagnosis on the geothermal sector in Mexico, and to design innovative risk mitigation and financial products. Activities related to capacity building and dissemination of knowledge can also be financed with these TCs. In addition, the Regional TC “Apoyo Tecnico a Bancos de Desarrollo con Estrategias de Financiamiento para la Mitigación al Cambio Climatico” (ATN/MC-13341-RG) may complement this program with: i) the design and implementation of methodologies for assessment of geothermal projects by financing banks; ii) information and awareness of the various actors (financiers and potential investors) about the benefits associated with geothermal and effective ways to value them; and iii) compliance with national standards and IDB’s environmental and social safeguards policies.</w:t>
      </w:r>
      <w:bookmarkEnd w:id="30"/>
      <w:bookmarkEnd w:id="31"/>
    </w:p>
    <w:p w:rsidR="009157FA" w:rsidRPr="002B2F04" w:rsidRDefault="009157FA" w:rsidP="002B2F04">
      <w:pPr>
        <w:pStyle w:val="AutoNumpara"/>
        <w:rPr>
          <w:lang w:val="en-US"/>
        </w:rPr>
      </w:pPr>
      <w:r w:rsidRPr="009157FA">
        <w:rPr>
          <w:lang w:val="en-US"/>
        </w:rPr>
        <w:t xml:space="preserve">From the point of view of Mexico </w:t>
      </w:r>
      <w:r>
        <w:rPr>
          <w:lang w:val="en-US"/>
        </w:rPr>
        <w:t xml:space="preserve">energy industry </w:t>
      </w:r>
      <w:r w:rsidRPr="009157FA">
        <w:rPr>
          <w:lang w:val="en-US"/>
        </w:rPr>
        <w:t xml:space="preserve">and </w:t>
      </w:r>
      <w:r>
        <w:rPr>
          <w:lang w:val="en-US"/>
        </w:rPr>
        <w:t>the</w:t>
      </w:r>
      <w:r w:rsidRPr="009157FA">
        <w:rPr>
          <w:lang w:val="en-US"/>
        </w:rPr>
        <w:t xml:space="preserve"> regulatory framework, </w:t>
      </w:r>
      <w:r>
        <w:rPr>
          <w:lang w:val="en-US"/>
        </w:rPr>
        <w:t>the “</w:t>
      </w:r>
      <w:r w:rsidRPr="004424E9">
        <w:rPr>
          <w:i/>
          <w:lang w:val="en-US"/>
        </w:rPr>
        <w:t>Estrategia Nacional de Energía 2013-2027</w:t>
      </w:r>
      <w:r>
        <w:rPr>
          <w:lang w:val="en-US"/>
        </w:rPr>
        <w:t xml:space="preserve">” (ENE) </w:t>
      </w:r>
      <w:r w:rsidR="00C21513">
        <w:rPr>
          <w:lang w:val="en-US"/>
        </w:rPr>
        <w:t>seeks a more inclusive growth target</w:t>
      </w:r>
      <w:r w:rsidRPr="009157FA">
        <w:rPr>
          <w:lang w:val="en-US"/>
        </w:rPr>
        <w:t xml:space="preserve">, which translates into an emphasis not only in production but also in energy savings. The </w:t>
      </w:r>
      <w:r>
        <w:rPr>
          <w:lang w:val="en-US"/>
        </w:rPr>
        <w:t>ENE</w:t>
      </w:r>
      <w:r w:rsidRPr="009157FA">
        <w:rPr>
          <w:lang w:val="en-US"/>
        </w:rPr>
        <w:t xml:space="preserve"> has a diagnosis of barriers to energy efficiency that highlights the financial problems. In addition, the overall goal called </w:t>
      </w:r>
      <w:r w:rsidRPr="004424E9">
        <w:rPr>
          <w:i/>
          <w:lang w:val="en-US"/>
        </w:rPr>
        <w:t>M</w:t>
      </w:r>
      <w:r w:rsidR="008938B6">
        <w:rPr>
          <w:i/>
          <w:lang w:val="en-US"/>
        </w:rPr>
        <w:t>é</w:t>
      </w:r>
      <w:r w:rsidRPr="004424E9">
        <w:rPr>
          <w:i/>
          <w:lang w:val="en-US"/>
        </w:rPr>
        <w:t>xico Prospero</w:t>
      </w:r>
      <w:r w:rsidRPr="009157FA">
        <w:rPr>
          <w:lang w:val="en-US"/>
        </w:rPr>
        <w:t xml:space="preserve"> incorporates the</w:t>
      </w:r>
      <w:r w:rsidR="002B2F04">
        <w:rPr>
          <w:lang w:val="en-US"/>
        </w:rPr>
        <w:t xml:space="preserve"> need to: (i</w:t>
      </w:r>
      <w:r w:rsidRPr="009157FA">
        <w:rPr>
          <w:lang w:val="en-US"/>
        </w:rPr>
        <w:t>) provide appropriat</w:t>
      </w:r>
      <w:r w:rsidR="002B2F04">
        <w:rPr>
          <w:lang w:val="en-US"/>
        </w:rPr>
        <w:t>e funding to the private sector, (ii</w:t>
      </w:r>
      <w:r w:rsidRPr="009157FA">
        <w:rPr>
          <w:lang w:val="en-US"/>
        </w:rPr>
        <w:t>) promote and gui</w:t>
      </w:r>
      <w:r w:rsidR="002B2F04">
        <w:rPr>
          <w:lang w:val="en-US"/>
        </w:rPr>
        <w:t>de a green and inclusive growth, and (iii</w:t>
      </w:r>
      <w:r w:rsidRPr="009157FA">
        <w:rPr>
          <w:lang w:val="en-US"/>
        </w:rPr>
        <w:t>) supply of energy at competitive prices and quality and efficiency along the supply chain.</w:t>
      </w:r>
    </w:p>
    <w:p w:rsidR="009157FA" w:rsidRPr="002B2F04" w:rsidRDefault="00EB5703" w:rsidP="002B2F04">
      <w:pPr>
        <w:pStyle w:val="AutoNumpara"/>
        <w:rPr>
          <w:lang w:val="en-US"/>
        </w:rPr>
      </w:pPr>
      <w:r>
        <w:rPr>
          <w:lang w:val="en-US"/>
        </w:rPr>
        <w:t>T</w:t>
      </w:r>
      <w:r w:rsidR="002B2F04" w:rsidRPr="002B2F04">
        <w:rPr>
          <w:lang w:val="en-US"/>
        </w:rPr>
        <w:t xml:space="preserve">he Energy Reform raised by the new government proposes flexible operation of the </w:t>
      </w:r>
      <w:r w:rsidR="008938B6">
        <w:rPr>
          <w:lang w:val="en-US"/>
        </w:rPr>
        <w:t>local d</w:t>
      </w:r>
      <w:r>
        <w:rPr>
          <w:lang w:val="en-US"/>
        </w:rPr>
        <w:t xml:space="preserve">evelopment </w:t>
      </w:r>
      <w:r w:rsidR="008938B6">
        <w:rPr>
          <w:lang w:val="en-US"/>
        </w:rPr>
        <w:t>b</w:t>
      </w:r>
      <w:r>
        <w:rPr>
          <w:lang w:val="en-US"/>
        </w:rPr>
        <w:t>anks</w:t>
      </w:r>
      <w:r w:rsidR="002B2F04" w:rsidRPr="002B2F04">
        <w:rPr>
          <w:lang w:val="en-US"/>
        </w:rPr>
        <w:t xml:space="preserve"> with the aim of contributing to the expansion of credit, with special emphasis on the priority areas for national development, such as the energy sector.</w:t>
      </w:r>
    </w:p>
    <w:p w:rsidR="00F65CDC" w:rsidRPr="004424E9" w:rsidRDefault="001A7E25" w:rsidP="004424E9">
      <w:pPr>
        <w:pStyle w:val="ListParagraph"/>
        <w:numPr>
          <w:ilvl w:val="0"/>
          <w:numId w:val="45"/>
        </w:numPr>
        <w:ind w:left="360"/>
        <w:outlineLvl w:val="0"/>
        <w:rPr>
          <w:rFonts w:ascii="Times New Roman Bold" w:hAnsi="Times New Roman Bold" w:cs="Times New Roman"/>
          <w:b/>
          <w:smallCaps/>
          <w:noProof/>
          <w:sz w:val="28"/>
          <w:szCs w:val="28"/>
        </w:rPr>
      </w:pPr>
      <w:bookmarkStart w:id="32" w:name="_Toc375150065"/>
      <w:r w:rsidRPr="004424E9">
        <w:rPr>
          <w:rFonts w:ascii="Times New Roman Bold" w:hAnsi="Times New Roman Bold" w:cs="Times New Roman"/>
          <w:b/>
          <w:smallCaps/>
          <w:noProof/>
          <w:sz w:val="28"/>
          <w:szCs w:val="28"/>
        </w:rPr>
        <w:t>Key Outcome Indicators</w:t>
      </w:r>
      <w:bookmarkEnd w:id="32"/>
      <w:r w:rsidRPr="004424E9">
        <w:rPr>
          <w:rFonts w:ascii="Times New Roman Bold" w:hAnsi="Times New Roman Bold" w:cs="Times New Roman"/>
          <w:b/>
          <w:smallCaps/>
          <w:noProof/>
          <w:sz w:val="28"/>
          <w:szCs w:val="28"/>
        </w:rPr>
        <w:tab/>
      </w:r>
    </w:p>
    <w:p w:rsidR="00C21513" w:rsidRPr="00C21513" w:rsidRDefault="008938B6" w:rsidP="00C21513">
      <w:pPr>
        <w:pStyle w:val="AutoNumpara"/>
        <w:rPr>
          <w:lang w:val="en-US"/>
        </w:rPr>
      </w:pPr>
      <w:r>
        <w:rPr>
          <w:lang w:val="en-US"/>
        </w:rPr>
        <w:t>Proposed</w:t>
      </w:r>
      <w:r w:rsidRPr="00C21513">
        <w:rPr>
          <w:lang w:val="en-US"/>
        </w:rPr>
        <w:t xml:space="preserve"> </w:t>
      </w:r>
      <w:r w:rsidR="00C21513" w:rsidRPr="00C21513">
        <w:rPr>
          <w:lang w:val="en-US"/>
        </w:rPr>
        <w:t>indicators</w:t>
      </w:r>
      <w:r>
        <w:rPr>
          <w:lang w:val="en-US"/>
        </w:rPr>
        <w:t xml:space="preserve"> and their corresponding</w:t>
      </w:r>
      <w:r w:rsidR="00C21513" w:rsidRPr="00C21513">
        <w:rPr>
          <w:lang w:val="en-US"/>
        </w:rPr>
        <w:t xml:space="preserve"> description, frequency of measurement and means of verification are listed in Table</w:t>
      </w:r>
      <w:r w:rsidR="00C21513">
        <w:rPr>
          <w:lang w:val="en-US"/>
        </w:rPr>
        <w:t xml:space="preserve"> 3.1</w:t>
      </w:r>
      <w:r>
        <w:rPr>
          <w:lang w:val="en-US"/>
        </w:rPr>
        <w:t>.</w:t>
      </w:r>
    </w:p>
    <w:p w:rsidR="00C94A61" w:rsidRDefault="00937D90">
      <w:pPr>
        <w:pStyle w:val="BodyText2"/>
        <w:spacing w:after="0" w:line="240" w:lineRule="auto"/>
        <w:jc w:val="center"/>
        <w:rPr>
          <w:b/>
          <w:szCs w:val="24"/>
          <w:lang w:val="en-US"/>
        </w:rPr>
      </w:pPr>
      <w:r w:rsidRPr="007969EB">
        <w:rPr>
          <w:b/>
          <w:szCs w:val="24"/>
          <w:lang w:val="en-US"/>
        </w:rPr>
        <w:t xml:space="preserve">Table </w:t>
      </w:r>
      <w:r w:rsidR="0012377F">
        <w:rPr>
          <w:b/>
          <w:szCs w:val="24"/>
          <w:lang w:val="en-US"/>
        </w:rPr>
        <w:t>3</w:t>
      </w:r>
      <w:r w:rsidR="007969EB">
        <w:rPr>
          <w:b/>
          <w:szCs w:val="24"/>
          <w:lang w:val="en-US"/>
        </w:rPr>
        <w:t>.1:</w:t>
      </w:r>
      <w:r w:rsidRPr="007969EB">
        <w:rPr>
          <w:b/>
          <w:szCs w:val="24"/>
          <w:lang w:val="en-US"/>
        </w:rPr>
        <w:t xml:space="preserve"> Indicators</w:t>
      </w:r>
    </w:p>
    <w:tbl>
      <w:tblPr>
        <w:tblpPr w:leftFromText="180" w:rightFromText="180" w:vertAnchor="text" w:horzAnchor="margin" w:tblpXSpec="center" w:tblpY="247"/>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firstRow="0" w:lastRow="1" w:firstColumn="0" w:lastColumn="0" w:noHBand="0" w:noVBand="0"/>
      </w:tblPr>
      <w:tblGrid>
        <w:gridCol w:w="2394"/>
        <w:gridCol w:w="900"/>
        <w:gridCol w:w="1404"/>
        <w:gridCol w:w="5490"/>
      </w:tblGrid>
      <w:tr w:rsidR="00FB7282" w:rsidRPr="00F54C08" w:rsidTr="00BF4FC3">
        <w:trPr>
          <w:cantSplit/>
        </w:trPr>
        <w:tc>
          <w:tcPr>
            <w:tcW w:w="2394" w:type="dxa"/>
            <w:tcBorders>
              <w:bottom w:val="single" w:sz="4" w:space="0" w:color="auto"/>
            </w:tcBorders>
            <w:shd w:val="clear" w:color="auto" w:fill="F2F2F2"/>
            <w:vAlign w:val="center"/>
          </w:tcPr>
          <w:p w:rsidR="00FB7282" w:rsidRPr="00F54C08" w:rsidRDefault="00FB7282" w:rsidP="003F44DC">
            <w:pPr>
              <w:jc w:val="center"/>
              <w:rPr>
                <w:b/>
                <w:bCs/>
                <w:sz w:val="20"/>
                <w:szCs w:val="20"/>
              </w:rPr>
            </w:pPr>
            <w:r w:rsidRPr="00F54C08">
              <w:rPr>
                <w:b/>
                <w:bCs/>
                <w:sz w:val="20"/>
                <w:szCs w:val="20"/>
              </w:rPr>
              <w:t>Indicators</w:t>
            </w:r>
          </w:p>
        </w:tc>
        <w:tc>
          <w:tcPr>
            <w:tcW w:w="900" w:type="dxa"/>
            <w:tcBorders>
              <w:bottom w:val="single" w:sz="4" w:space="0" w:color="auto"/>
            </w:tcBorders>
            <w:shd w:val="clear" w:color="auto" w:fill="F2F2F2"/>
            <w:vAlign w:val="center"/>
          </w:tcPr>
          <w:p w:rsidR="00FB7282" w:rsidRPr="00F54C08" w:rsidRDefault="00FB7282" w:rsidP="003F44DC">
            <w:pPr>
              <w:ind w:left="-50" w:firstLine="50"/>
              <w:jc w:val="center"/>
              <w:rPr>
                <w:b/>
                <w:bCs/>
                <w:sz w:val="20"/>
                <w:szCs w:val="20"/>
              </w:rPr>
            </w:pPr>
            <w:r w:rsidRPr="00F54C08">
              <w:rPr>
                <w:b/>
                <w:bCs/>
                <w:sz w:val="20"/>
                <w:szCs w:val="20"/>
              </w:rPr>
              <w:t>Unit</w:t>
            </w:r>
            <w:r>
              <w:rPr>
                <w:rStyle w:val="FootnoteReference"/>
                <w:bCs/>
              </w:rPr>
              <w:footnoteReference w:id="12"/>
            </w:r>
          </w:p>
        </w:tc>
        <w:tc>
          <w:tcPr>
            <w:tcW w:w="1404" w:type="dxa"/>
            <w:tcBorders>
              <w:bottom w:val="single" w:sz="4" w:space="0" w:color="auto"/>
            </w:tcBorders>
            <w:shd w:val="clear" w:color="auto" w:fill="F2F2F2"/>
            <w:vAlign w:val="center"/>
          </w:tcPr>
          <w:p w:rsidR="00FB7282" w:rsidRPr="00EA23D1" w:rsidRDefault="00FB7282" w:rsidP="003F44DC">
            <w:pPr>
              <w:ind w:left="-50" w:firstLine="50"/>
              <w:jc w:val="center"/>
              <w:rPr>
                <w:b/>
                <w:bCs/>
                <w:sz w:val="18"/>
                <w:szCs w:val="20"/>
              </w:rPr>
            </w:pPr>
            <w:r w:rsidRPr="00FB7282">
              <w:rPr>
                <w:b/>
                <w:bCs/>
                <w:sz w:val="16"/>
                <w:szCs w:val="20"/>
              </w:rPr>
              <w:t>Frequency of measurement</w:t>
            </w:r>
          </w:p>
        </w:tc>
        <w:tc>
          <w:tcPr>
            <w:tcW w:w="5490" w:type="dxa"/>
            <w:tcBorders>
              <w:bottom w:val="single" w:sz="4" w:space="0" w:color="auto"/>
            </w:tcBorders>
            <w:shd w:val="clear" w:color="auto" w:fill="F2F2F2"/>
            <w:vAlign w:val="center"/>
          </w:tcPr>
          <w:p w:rsidR="00FB7282" w:rsidRPr="00F54C08" w:rsidRDefault="00FB7282" w:rsidP="003F44DC">
            <w:pPr>
              <w:jc w:val="center"/>
              <w:rPr>
                <w:b/>
                <w:bCs/>
                <w:sz w:val="20"/>
                <w:szCs w:val="20"/>
              </w:rPr>
            </w:pPr>
            <w:r w:rsidRPr="00F54C08">
              <w:rPr>
                <w:b/>
                <w:bCs/>
                <w:sz w:val="20"/>
                <w:szCs w:val="20"/>
              </w:rPr>
              <w:t>Description / Source of verification</w:t>
            </w:r>
          </w:p>
        </w:tc>
      </w:tr>
      <w:tr w:rsidR="00FB7282" w:rsidRPr="00BC7548" w:rsidTr="00BF4FC3">
        <w:trPr>
          <w:cantSplit/>
        </w:trPr>
        <w:tc>
          <w:tcPr>
            <w:tcW w:w="2394" w:type="dxa"/>
            <w:tcBorders>
              <w:right w:val="nil"/>
            </w:tcBorders>
            <w:shd w:val="clear" w:color="auto" w:fill="BFBFBF" w:themeFill="background1" w:themeFillShade="BF"/>
            <w:vAlign w:val="center"/>
          </w:tcPr>
          <w:p w:rsidR="00FB7282" w:rsidRPr="00F54C08" w:rsidRDefault="00FB7282" w:rsidP="003F44DC">
            <w:pPr>
              <w:spacing w:before="60" w:after="60"/>
              <w:rPr>
                <w:sz w:val="20"/>
                <w:szCs w:val="20"/>
              </w:rPr>
            </w:pPr>
            <w:r>
              <w:rPr>
                <w:b/>
                <w:smallCaps/>
                <w:sz w:val="20"/>
                <w:szCs w:val="20"/>
              </w:rPr>
              <w:t>Result</w:t>
            </w:r>
            <w:r w:rsidRPr="00F54C08">
              <w:rPr>
                <w:b/>
                <w:smallCaps/>
                <w:sz w:val="20"/>
                <w:szCs w:val="20"/>
              </w:rPr>
              <w:t>s</w:t>
            </w:r>
          </w:p>
        </w:tc>
        <w:tc>
          <w:tcPr>
            <w:tcW w:w="900" w:type="dxa"/>
            <w:tcBorders>
              <w:left w:val="nil"/>
              <w:right w:val="nil"/>
            </w:tcBorders>
            <w:shd w:val="clear" w:color="auto" w:fill="BFBFBF" w:themeFill="background1" w:themeFillShade="BF"/>
            <w:vAlign w:val="center"/>
          </w:tcPr>
          <w:p w:rsidR="00FB7282" w:rsidRPr="00F54C08" w:rsidRDefault="00FB7282" w:rsidP="003F44DC">
            <w:pPr>
              <w:spacing w:before="60" w:after="60"/>
              <w:jc w:val="center"/>
              <w:rPr>
                <w:sz w:val="20"/>
                <w:szCs w:val="20"/>
              </w:rPr>
            </w:pPr>
          </w:p>
        </w:tc>
        <w:tc>
          <w:tcPr>
            <w:tcW w:w="1404" w:type="dxa"/>
            <w:tcBorders>
              <w:left w:val="nil"/>
              <w:right w:val="nil"/>
            </w:tcBorders>
            <w:shd w:val="clear" w:color="auto" w:fill="BFBFBF" w:themeFill="background1" w:themeFillShade="BF"/>
            <w:vAlign w:val="center"/>
          </w:tcPr>
          <w:p w:rsidR="00FB7282" w:rsidRPr="00F54C08" w:rsidRDefault="00FB7282" w:rsidP="003F44DC">
            <w:pPr>
              <w:spacing w:before="60" w:after="60"/>
              <w:jc w:val="center"/>
              <w:rPr>
                <w:sz w:val="20"/>
                <w:szCs w:val="20"/>
              </w:rPr>
            </w:pPr>
          </w:p>
        </w:tc>
        <w:tc>
          <w:tcPr>
            <w:tcW w:w="5490" w:type="dxa"/>
            <w:tcBorders>
              <w:left w:val="nil"/>
            </w:tcBorders>
            <w:shd w:val="clear" w:color="auto" w:fill="BFBFBF" w:themeFill="background1" w:themeFillShade="BF"/>
            <w:vAlign w:val="center"/>
          </w:tcPr>
          <w:p w:rsidR="00FB7282" w:rsidRPr="00F54C08" w:rsidRDefault="00FB7282" w:rsidP="003F44DC">
            <w:pPr>
              <w:spacing w:before="60" w:after="60"/>
              <w:rPr>
                <w:sz w:val="20"/>
                <w:szCs w:val="20"/>
              </w:rPr>
            </w:pPr>
          </w:p>
        </w:tc>
      </w:tr>
      <w:tr w:rsidR="006E6916" w:rsidRPr="00951BEE" w:rsidTr="00BF4FC3">
        <w:trPr>
          <w:cantSplit/>
        </w:trPr>
        <w:tc>
          <w:tcPr>
            <w:tcW w:w="2394" w:type="dxa"/>
            <w:vAlign w:val="center"/>
          </w:tcPr>
          <w:p w:rsidR="006E6916" w:rsidRPr="004424E9" w:rsidRDefault="006E6916" w:rsidP="006E6916">
            <w:pPr>
              <w:pStyle w:val="ListParagraph"/>
              <w:ind w:left="0"/>
              <w:rPr>
                <w:sz w:val="20"/>
              </w:rPr>
            </w:pPr>
            <w:r w:rsidRPr="004424E9">
              <w:rPr>
                <w:sz w:val="20"/>
              </w:rPr>
              <w:t>Geothermal projects financed that moved on from early exploration to production drilling</w:t>
            </w:r>
          </w:p>
        </w:tc>
        <w:tc>
          <w:tcPr>
            <w:tcW w:w="900" w:type="dxa"/>
            <w:vAlign w:val="center"/>
          </w:tcPr>
          <w:p w:rsidR="006E6916" w:rsidRDefault="006E6916" w:rsidP="006E6916">
            <w:pPr>
              <w:spacing w:before="60" w:after="60"/>
              <w:jc w:val="center"/>
              <w:rPr>
                <w:sz w:val="20"/>
                <w:szCs w:val="20"/>
              </w:rPr>
            </w:pPr>
            <w:r>
              <w:rPr>
                <w:sz w:val="20"/>
                <w:szCs w:val="20"/>
              </w:rPr>
              <w:t>Number (%)</w:t>
            </w:r>
          </w:p>
        </w:tc>
        <w:tc>
          <w:tcPr>
            <w:tcW w:w="1404" w:type="dxa"/>
            <w:vAlign w:val="center"/>
          </w:tcPr>
          <w:p w:rsidR="006E6916" w:rsidRDefault="006E6916" w:rsidP="006E6916">
            <w:pPr>
              <w:spacing w:before="60" w:after="60"/>
              <w:jc w:val="center"/>
              <w:rPr>
                <w:sz w:val="18"/>
                <w:szCs w:val="18"/>
              </w:rPr>
            </w:pPr>
            <w:r>
              <w:rPr>
                <w:sz w:val="20"/>
                <w:szCs w:val="20"/>
              </w:rPr>
              <w:t>Once, at the end of execution period</w:t>
            </w:r>
          </w:p>
        </w:tc>
        <w:tc>
          <w:tcPr>
            <w:tcW w:w="5490" w:type="dxa"/>
            <w:vAlign w:val="center"/>
          </w:tcPr>
          <w:p w:rsidR="006E6916" w:rsidRDefault="006E6916" w:rsidP="006E6916">
            <w:pPr>
              <w:spacing w:before="60" w:after="60"/>
              <w:rPr>
                <w:sz w:val="20"/>
                <w:szCs w:val="20"/>
              </w:rPr>
            </w:pPr>
            <w:r w:rsidRPr="00F54C08">
              <w:rPr>
                <w:sz w:val="20"/>
                <w:szCs w:val="20"/>
              </w:rPr>
              <w:t>Source:  Program report from NAFIN</w:t>
            </w:r>
            <w:r>
              <w:rPr>
                <w:sz w:val="20"/>
                <w:szCs w:val="20"/>
              </w:rPr>
              <w:t>. Percentage will be measured over the total amount of projects financed (at any stage) as of end of execution period.</w:t>
            </w:r>
          </w:p>
        </w:tc>
      </w:tr>
      <w:tr w:rsidR="006E6916" w:rsidRPr="00951BEE" w:rsidTr="00BF4FC3">
        <w:trPr>
          <w:cantSplit/>
        </w:trPr>
        <w:tc>
          <w:tcPr>
            <w:tcW w:w="2394" w:type="dxa"/>
            <w:vAlign w:val="center"/>
          </w:tcPr>
          <w:p w:rsidR="006E6916" w:rsidRPr="004424E9" w:rsidRDefault="006E6916" w:rsidP="006E6916">
            <w:pPr>
              <w:pStyle w:val="ListParagraph"/>
              <w:ind w:left="0"/>
              <w:rPr>
                <w:sz w:val="20"/>
              </w:rPr>
            </w:pPr>
            <w:r w:rsidRPr="004424E9">
              <w:rPr>
                <w:sz w:val="20"/>
              </w:rPr>
              <w:t>Geothermal projects financed that moved on from production drilling to construction</w:t>
            </w:r>
          </w:p>
        </w:tc>
        <w:tc>
          <w:tcPr>
            <w:tcW w:w="900" w:type="dxa"/>
            <w:vAlign w:val="center"/>
          </w:tcPr>
          <w:p w:rsidR="006E6916" w:rsidRDefault="006E6916" w:rsidP="006E6916">
            <w:pPr>
              <w:spacing w:before="60" w:after="60"/>
              <w:jc w:val="center"/>
              <w:rPr>
                <w:sz w:val="20"/>
                <w:szCs w:val="20"/>
              </w:rPr>
            </w:pPr>
            <w:r>
              <w:rPr>
                <w:sz w:val="20"/>
                <w:szCs w:val="20"/>
              </w:rPr>
              <w:t>Number (%)</w:t>
            </w:r>
          </w:p>
        </w:tc>
        <w:tc>
          <w:tcPr>
            <w:tcW w:w="1404" w:type="dxa"/>
            <w:vAlign w:val="center"/>
          </w:tcPr>
          <w:p w:rsidR="006E6916" w:rsidRDefault="006E6916" w:rsidP="006E6916">
            <w:pPr>
              <w:spacing w:before="60" w:after="60"/>
              <w:jc w:val="center"/>
              <w:rPr>
                <w:sz w:val="18"/>
                <w:szCs w:val="18"/>
              </w:rPr>
            </w:pPr>
            <w:r>
              <w:rPr>
                <w:sz w:val="20"/>
                <w:szCs w:val="20"/>
              </w:rPr>
              <w:t>Once, at the end of execution period</w:t>
            </w:r>
          </w:p>
        </w:tc>
        <w:tc>
          <w:tcPr>
            <w:tcW w:w="5490" w:type="dxa"/>
            <w:vAlign w:val="center"/>
          </w:tcPr>
          <w:p w:rsidR="006E6916" w:rsidRDefault="006E6916" w:rsidP="006E6916">
            <w:pPr>
              <w:spacing w:before="60" w:after="60"/>
              <w:rPr>
                <w:sz w:val="20"/>
                <w:szCs w:val="20"/>
              </w:rPr>
            </w:pPr>
            <w:r w:rsidRPr="00F54C08">
              <w:rPr>
                <w:sz w:val="20"/>
                <w:szCs w:val="20"/>
              </w:rPr>
              <w:t>Source:  Program report from NAFIN</w:t>
            </w:r>
            <w:r>
              <w:rPr>
                <w:sz w:val="20"/>
                <w:szCs w:val="20"/>
              </w:rPr>
              <w:t>. Percentage will be measured over the total amount of projects financed (at any stage) as of end of execution period.</w:t>
            </w:r>
          </w:p>
        </w:tc>
      </w:tr>
      <w:tr w:rsidR="006E6916" w:rsidRPr="00951BEE" w:rsidTr="00BF4FC3">
        <w:trPr>
          <w:cantSplit/>
        </w:trPr>
        <w:tc>
          <w:tcPr>
            <w:tcW w:w="2394" w:type="dxa"/>
            <w:vAlign w:val="center"/>
          </w:tcPr>
          <w:p w:rsidR="006E6916" w:rsidRPr="004424E9" w:rsidRDefault="006E6916" w:rsidP="006E6916">
            <w:pPr>
              <w:pStyle w:val="ListParagraph"/>
              <w:ind w:left="0"/>
              <w:rPr>
                <w:sz w:val="20"/>
              </w:rPr>
            </w:pPr>
            <w:r w:rsidRPr="004424E9">
              <w:rPr>
                <w:sz w:val="20"/>
              </w:rPr>
              <w:t>Total geothermal power projects financed at some stage by the program that are in operation (producing electricity)</w:t>
            </w:r>
          </w:p>
        </w:tc>
        <w:tc>
          <w:tcPr>
            <w:tcW w:w="900" w:type="dxa"/>
            <w:vAlign w:val="center"/>
          </w:tcPr>
          <w:p w:rsidR="006E6916" w:rsidRPr="00F54C08" w:rsidRDefault="006E6916" w:rsidP="006E6916">
            <w:pPr>
              <w:spacing w:before="60" w:after="60"/>
              <w:jc w:val="center"/>
              <w:rPr>
                <w:sz w:val="20"/>
                <w:szCs w:val="20"/>
              </w:rPr>
            </w:pPr>
            <w:r>
              <w:rPr>
                <w:sz w:val="20"/>
                <w:szCs w:val="20"/>
              </w:rPr>
              <w:t>Number</w:t>
            </w:r>
          </w:p>
        </w:tc>
        <w:tc>
          <w:tcPr>
            <w:tcW w:w="1404" w:type="dxa"/>
            <w:vAlign w:val="center"/>
          </w:tcPr>
          <w:p w:rsidR="006E6916" w:rsidRPr="00197289" w:rsidRDefault="006E6916" w:rsidP="006E6916">
            <w:pPr>
              <w:spacing w:before="60" w:after="60"/>
              <w:jc w:val="center"/>
              <w:rPr>
                <w:sz w:val="18"/>
                <w:szCs w:val="18"/>
              </w:rPr>
            </w:pPr>
            <w:r>
              <w:rPr>
                <w:sz w:val="20"/>
                <w:szCs w:val="20"/>
              </w:rPr>
              <w:t>Once, at the end of execution period (</w:t>
            </w:r>
            <w:proofErr w:type="spellStart"/>
            <w:r>
              <w:rPr>
                <w:sz w:val="20"/>
                <w:szCs w:val="20"/>
              </w:rPr>
              <w:t>inc.</w:t>
            </w:r>
            <w:proofErr w:type="spellEnd"/>
            <w:r>
              <w:rPr>
                <w:sz w:val="20"/>
                <w:szCs w:val="20"/>
              </w:rPr>
              <w:t xml:space="preserve"> projected value for year 10)</w:t>
            </w:r>
          </w:p>
        </w:tc>
        <w:tc>
          <w:tcPr>
            <w:tcW w:w="5490" w:type="dxa"/>
            <w:vAlign w:val="center"/>
          </w:tcPr>
          <w:p w:rsidR="006E6916" w:rsidRPr="00F54C08" w:rsidRDefault="006E6916" w:rsidP="006E6916">
            <w:pPr>
              <w:spacing w:before="60" w:after="60"/>
              <w:rPr>
                <w:sz w:val="20"/>
                <w:szCs w:val="20"/>
              </w:rPr>
            </w:pPr>
            <w:r>
              <w:rPr>
                <w:sz w:val="20"/>
                <w:szCs w:val="20"/>
              </w:rPr>
              <w:t xml:space="preserve">Includes the total number of projects that are functioning in the year indicated. </w:t>
            </w:r>
            <w:r w:rsidRPr="00F54C08">
              <w:rPr>
                <w:sz w:val="20"/>
                <w:szCs w:val="20"/>
              </w:rPr>
              <w:t xml:space="preserve">Due to the long maturities associated to these projects, </w:t>
            </w:r>
            <w:r>
              <w:rPr>
                <w:sz w:val="20"/>
                <w:szCs w:val="20"/>
              </w:rPr>
              <w:t>p</w:t>
            </w:r>
            <w:r w:rsidRPr="00F54C08">
              <w:rPr>
                <w:sz w:val="20"/>
                <w:szCs w:val="20"/>
              </w:rPr>
              <w:t xml:space="preserve">rojects financed </w:t>
            </w:r>
            <w:r>
              <w:rPr>
                <w:sz w:val="20"/>
                <w:szCs w:val="20"/>
              </w:rPr>
              <w:t>from early exploration</w:t>
            </w:r>
            <w:r w:rsidRPr="00F54C08">
              <w:rPr>
                <w:sz w:val="20"/>
                <w:szCs w:val="20"/>
              </w:rPr>
              <w:t xml:space="preserve"> </w:t>
            </w:r>
            <w:r>
              <w:rPr>
                <w:sz w:val="20"/>
                <w:szCs w:val="20"/>
              </w:rPr>
              <w:t>may not be fully operational until past the timeframe of monitoring (see target 2024)</w:t>
            </w:r>
            <w:r w:rsidRPr="00F54C08">
              <w:rPr>
                <w:sz w:val="20"/>
                <w:szCs w:val="20"/>
              </w:rPr>
              <w:t>.</w:t>
            </w:r>
          </w:p>
          <w:p w:rsidR="006E6916" w:rsidRDefault="006E6916" w:rsidP="006E6916">
            <w:pPr>
              <w:spacing w:before="60" w:after="60"/>
              <w:rPr>
                <w:sz w:val="20"/>
                <w:szCs w:val="20"/>
              </w:rPr>
            </w:pPr>
            <w:r w:rsidRPr="00F54C08">
              <w:rPr>
                <w:sz w:val="20"/>
                <w:szCs w:val="20"/>
              </w:rPr>
              <w:t>Source:  Program report from NAFIN.</w:t>
            </w:r>
          </w:p>
        </w:tc>
      </w:tr>
      <w:tr w:rsidR="006E6916" w:rsidRPr="00951BEE" w:rsidTr="00BF4FC3">
        <w:trPr>
          <w:cantSplit/>
        </w:trPr>
        <w:tc>
          <w:tcPr>
            <w:tcW w:w="2394" w:type="dxa"/>
            <w:vAlign w:val="center"/>
          </w:tcPr>
          <w:p w:rsidR="006E6916" w:rsidRPr="004424E9" w:rsidRDefault="006E6916" w:rsidP="006E6916">
            <w:pPr>
              <w:pStyle w:val="ListParagraph"/>
              <w:ind w:left="0"/>
              <w:rPr>
                <w:sz w:val="20"/>
              </w:rPr>
            </w:pPr>
            <w:r w:rsidRPr="004424E9">
              <w:rPr>
                <w:sz w:val="20"/>
              </w:rPr>
              <w:t>Geothermal power generation capacity installed in projects financed at some stage by the program</w:t>
            </w:r>
          </w:p>
        </w:tc>
        <w:tc>
          <w:tcPr>
            <w:tcW w:w="900" w:type="dxa"/>
            <w:vAlign w:val="center"/>
          </w:tcPr>
          <w:p w:rsidR="006E6916" w:rsidRPr="00F54C08" w:rsidRDefault="006E6916" w:rsidP="006E6916">
            <w:pPr>
              <w:spacing w:before="60" w:after="60"/>
              <w:jc w:val="center"/>
              <w:rPr>
                <w:sz w:val="20"/>
                <w:szCs w:val="20"/>
              </w:rPr>
            </w:pPr>
            <w:proofErr w:type="spellStart"/>
            <w:r w:rsidRPr="00F54C08">
              <w:rPr>
                <w:sz w:val="20"/>
                <w:szCs w:val="20"/>
              </w:rPr>
              <w:t>MW</w:t>
            </w:r>
            <w:r>
              <w:rPr>
                <w:sz w:val="20"/>
                <w:szCs w:val="20"/>
              </w:rPr>
              <w:t>e</w:t>
            </w:r>
            <w:proofErr w:type="spellEnd"/>
          </w:p>
        </w:tc>
        <w:tc>
          <w:tcPr>
            <w:tcW w:w="1404" w:type="dxa"/>
            <w:vAlign w:val="center"/>
          </w:tcPr>
          <w:p w:rsidR="006E6916" w:rsidRPr="00EA23D1" w:rsidRDefault="006E6916" w:rsidP="006E6916">
            <w:pPr>
              <w:spacing w:before="60" w:after="60"/>
              <w:jc w:val="center"/>
              <w:rPr>
                <w:sz w:val="18"/>
                <w:szCs w:val="18"/>
              </w:rPr>
            </w:pPr>
            <w:r>
              <w:rPr>
                <w:sz w:val="20"/>
                <w:szCs w:val="20"/>
              </w:rPr>
              <w:t>Once, at the end of execution period (</w:t>
            </w:r>
            <w:proofErr w:type="spellStart"/>
            <w:r>
              <w:rPr>
                <w:sz w:val="20"/>
                <w:szCs w:val="20"/>
              </w:rPr>
              <w:t>inc.</w:t>
            </w:r>
            <w:proofErr w:type="spellEnd"/>
            <w:r>
              <w:rPr>
                <w:sz w:val="20"/>
                <w:szCs w:val="20"/>
              </w:rPr>
              <w:t xml:space="preserve"> projected value for year 10)</w:t>
            </w:r>
          </w:p>
        </w:tc>
        <w:tc>
          <w:tcPr>
            <w:tcW w:w="5490" w:type="dxa"/>
            <w:vAlign w:val="center"/>
          </w:tcPr>
          <w:p w:rsidR="006E6916" w:rsidRPr="00F54C08" w:rsidRDefault="006E6916" w:rsidP="006E6916">
            <w:pPr>
              <w:spacing w:before="60" w:after="60"/>
              <w:rPr>
                <w:sz w:val="20"/>
                <w:szCs w:val="20"/>
              </w:rPr>
            </w:pPr>
            <w:r>
              <w:rPr>
                <w:sz w:val="20"/>
                <w:szCs w:val="20"/>
              </w:rPr>
              <w:t xml:space="preserve">Includes only capacity ready for production. </w:t>
            </w:r>
            <w:r w:rsidRPr="00F54C08">
              <w:rPr>
                <w:sz w:val="20"/>
                <w:szCs w:val="20"/>
              </w:rPr>
              <w:t xml:space="preserve">Due to the long maturities associated to these projects, capacity resulting from projects financed </w:t>
            </w:r>
            <w:r>
              <w:rPr>
                <w:sz w:val="20"/>
                <w:szCs w:val="20"/>
              </w:rPr>
              <w:t>from early exploration</w:t>
            </w:r>
            <w:r w:rsidRPr="00F54C08">
              <w:rPr>
                <w:sz w:val="20"/>
                <w:szCs w:val="20"/>
              </w:rPr>
              <w:t xml:space="preserve"> </w:t>
            </w:r>
            <w:r>
              <w:rPr>
                <w:sz w:val="20"/>
                <w:szCs w:val="20"/>
              </w:rPr>
              <w:t>may not be installed until past the timeframe of monitoring (see target 2024)</w:t>
            </w:r>
            <w:r w:rsidRPr="00F54C08">
              <w:rPr>
                <w:sz w:val="20"/>
                <w:szCs w:val="20"/>
              </w:rPr>
              <w:t>.</w:t>
            </w:r>
          </w:p>
          <w:p w:rsidR="006E6916" w:rsidRPr="00F54C08" w:rsidRDefault="006E6916" w:rsidP="006E6916">
            <w:pPr>
              <w:spacing w:before="60" w:after="60"/>
              <w:rPr>
                <w:sz w:val="20"/>
                <w:szCs w:val="20"/>
              </w:rPr>
            </w:pPr>
            <w:r w:rsidRPr="00F54C08">
              <w:rPr>
                <w:sz w:val="20"/>
                <w:szCs w:val="20"/>
              </w:rPr>
              <w:t>Source:  Program report from NAFIN.</w:t>
            </w:r>
          </w:p>
        </w:tc>
      </w:tr>
      <w:tr w:rsidR="006E6916" w:rsidRPr="00951BEE" w:rsidTr="00BF4FC3">
        <w:trPr>
          <w:cantSplit/>
        </w:trPr>
        <w:tc>
          <w:tcPr>
            <w:tcW w:w="2394" w:type="dxa"/>
            <w:vAlign w:val="center"/>
          </w:tcPr>
          <w:p w:rsidR="006E6916" w:rsidRPr="004424E9" w:rsidRDefault="006E6916" w:rsidP="006E6916">
            <w:pPr>
              <w:pStyle w:val="ListParagraph"/>
              <w:ind w:left="0"/>
              <w:rPr>
                <w:sz w:val="20"/>
              </w:rPr>
            </w:pPr>
            <w:r w:rsidRPr="004424E9">
              <w:rPr>
                <w:sz w:val="20"/>
              </w:rPr>
              <w:t>Electricity production from geothermal projects financed at some stage by the program</w:t>
            </w:r>
          </w:p>
        </w:tc>
        <w:tc>
          <w:tcPr>
            <w:tcW w:w="900" w:type="dxa"/>
            <w:vAlign w:val="center"/>
          </w:tcPr>
          <w:p w:rsidR="006E6916" w:rsidRDefault="006E6916" w:rsidP="006E6916">
            <w:pPr>
              <w:spacing w:before="60" w:after="60"/>
              <w:rPr>
                <w:sz w:val="20"/>
                <w:szCs w:val="20"/>
              </w:rPr>
            </w:pPr>
            <w:proofErr w:type="spellStart"/>
            <w:r w:rsidRPr="00A2454E">
              <w:rPr>
                <w:sz w:val="18"/>
                <w:szCs w:val="20"/>
              </w:rPr>
              <w:t>GWh</w:t>
            </w:r>
            <w:proofErr w:type="spellEnd"/>
            <w:r w:rsidRPr="00A2454E">
              <w:rPr>
                <w:sz w:val="18"/>
                <w:szCs w:val="20"/>
              </w:rPr>
              <w:t>/</w:t>
            </w:r>
            <w:proofErr w:type="spellStart"/>
            <w:r w:rsidRPr="00A2454E">
              <w:rPr>
                <w:sz w:val="18"/>
                <w:szCs w:val="20"/>
              </w:rPr>
              <w:t>yr</w:t>
            </w:r>
            <w:proofErr w:type="spellEnd"/>
          </w:p>
        </w:tc>
        <w:tc>
          <w:tcPr>
            <w:tcW w:w="1404" w:type="dxa"/>
            <w:vAlign w:val="center"/>
          </w:tcPr>
          <w:p w:rsidR="006E6916" w:rsidRPr="00A61854" w:rsidRDefault="006E6916" w:rsidP="006E6916">
            <w:pPr>
              <w:spacing w:before="60" w:after="60"/>
              <w:jc w:val="center"/>
              <w:rPr>
                <w:sz w:val="18"/>
                <w:szCs w:val="20"/>
              </w:rPr>
            </w:pPr>
            <w:r>
              <w:rPr>
                <w:sz w:val="20"/>
                <w:szCs w:val="20"/>
              </w:rPr>
              <w:t>Once, at the end of execution period (</w:t>
            </w:r>
            <w:proofErr w:type="spellStart"/>
            <w:r>
              <w:rPr>
                <w:sz w:val="20"/>
                <w:szCs w:val="20"/>
              </w:rPr>
              <w:t>inc.</w:t>
            </w:r>
            <w:proofErr w:type="spellEnd"/>
            <w:r>
              <w:rPr>
                <w:sz w:val="20"/>
                <w:szCs w:val="20"/>
              </w:rPr>
              <w:t xml:space="preserve"> projected value for year 10)</w:t>
            </w:r>
          </w:p>
        </w:tc>
        <w:tc>
          <w:tcPr>
            <w:tcW w:w="5490" w:type="dxa"/>
            <w:vAlign w:val="center"/>
          </w:tcPr>
          <w:p w:rsidR="006E6916" w:rsidRDefault="006E6916" w:rsidP="006E6916">
            <w:pPr>
              <w:spacing w:before="60" w:after="60"/>
              <w:rPr>
                <w:sz w:val="20"/>
                <w:szCs w:val="20"/>
              </w:rPr>
            </w:pPr>
            <w:r w:rsidRPr="00F54C08">
              <w:rPr>
                <w:sz w:val="20"/>
                <w:szCs w:val="20"/>
              </w:rPr>
              <w:t>Source:  Program report from NAFIN</w:t>
            </w:r>
            <w:r>
              <w:rPr>
                <w:sz w:val="20"/>
                <w:szCs w:val="20"/>
              </w:rPr>
              <w:t>.</w:t>
            </w:r>
          </w:p>
          <w:p w:rsidR="006E6916" w:rsidRPr="00F54C08" w:rsidRDefault="006E6916" w:rsidP="006E6916">
            <w:pPr>
              <w:spacing w:before="60" w:after="60"/>
              <w:rPr>
                <w:sz w:val="20"/>
                <w:szCs w:val="20"/>
              </w:rPr>
            </w:pPr>
            <w:r w:rsidRPr="00A2454E">
              <w:rPr>
                <w:sz w:val="20"/>
                <w:szCs w:val="20"/>
              </w:rPr>
              <w:t>Estimations based on the</w:t>
            </w:r>
            <w:r>
              <w:rPr>
                <w:sz w:val="20"/>
                <w:szCs w:val="20"/>
              </w:rPr>
              <w:t xml:space="preserve"> expected capacity installed, an</w:t>
            </w:r>
            <w:r w:rsidRPr="00A2454E">
              <w:rPr>
                <w:sz w:val="20"/>
                <w:szCs w:val="20"/>
              </w:rPr>
              <w:t xml:space="preserve"> average production factor in Mexico</w:t>
            </w:r>
            <w:r>
              <w:rPr>
                <w:sz w:val="20"/>
                <w:szCs w:val="20"/>
              </w:rPr>
              <w:t>, 24 hours/day, 365 days/yr</w:t>
            </w:r>
            <w:r w:rsidRPr="00A2454E">
              <w:rPr>
                <w:sz w:val="20"/>
                <w:szCs w:val="20"/>
              </w:rPr>
              <w:t>.</w:t>
            </w:r>
          </w:p>
        </w:tc>
      </w:tr>
      <w:tr w:rsidR="006E6916" w:rsidRPr="00951BEE" w:rsidTr="00BF4FC3">
        <w:trPr>
          <w:cantSplit/>
          <w:trHeight w:val="2438"/>
        </w:trPr>
        <w:tc>
          <w:tcPr>
            <w:tcW w:w="2394" w:type="dxa"/>
            <w:vAlign w:val="center"/>
          </w:tcPr>
          <w:p w:rsidR="006E6916" w:rsidRPr="004424E9" w:rsidRDefault="006E6916" w:rsidP="006E6916">
            <w:pPr>
              <w:pStyle w:val="ListParagraph"/>
              <w:ind w:left="0"/>
              <w:rPr>
                <w:sz w:val="20"/>
              </w:rPr>
            </w:pPr>
            <w:r w:rsidRPr="004424E9">
              <w:rPr>
                <w:sz w:val="20"/>
              </w:rPr>
              <w:t>Greenhouse gas (GHG) emissions avoided by geothermal projects financed at some stage by the program</w:t>
            </w:r>
          </w:p>
        </w:tc>
        <w:tc>
          <w:tcPr>
            <w:tcW w:w="900" w:type="dxa"/>
            <w:vAlign w:val="center"/>
          </w:tcPr>
          <w:p w:rsidR="006E6916" w:rsidRPr="00F54C08" w:rsidRDefault="006E6916" w:rsidP="006E6916">
            <w:pPr>
              <w:spacing w:before="60" w:after="60"/>
              <w:rPr>
                <w:sz w:val="20"/>
                <w:szCs w:val="20"/>
              </w:rPr>
            </w:pPr>
            <w:r>
              <w:rPr>
                <w:sz w:val="20"/>
                <w:szCs w:val="20"/>
              </w:rPr>
              <w:t>M</w:t>
            </w:r>
            <w:r w:rsidRPr="00F54C08">
              <w:rPr>
                <w:sz w:val="20"/>
                <w:szCs w:val="20"/>
              </w:rPr>
              <w:t>tCO</w:t>
            </w:r>
            <w:r w:rsidRPr="00F54C08">
              <w:rPr>
                <w:sz w:val="20"/>
                <w:szCs w:val="20"/>
                <w:vertAlign w:val="subscript"/>
              </w:rPr>
              <w:t>2</w:t>
            </w:r>
            <w:r w:rsidRPr="00F54C08">
              <w:rPr>
                <w:sz w:val="20"/>
                <w:szCs w:val="20"/>
              </w:rPr>
              <w:t>e/</w:t>
            </w:r>
            <w:proofErr w:type="spellStart"/>
            <w:r w:rsidRPr="00F54C08">
              <w:rPr>
                <w:sz w:val="20"/>
                <w:szCs w:val="20"/>
              </w:rPr>
              <w:t>yr</w:t>
            </w:r>
            <w:proofErr w:type="spellEnd"/>
          </w:p>
          <w:p w:rsidR="006E6916" w:rsidRPr="00F54C08" w:rsidRDefault="006E6916" w:rsidP="006E6916">
            <w:pPr>
              <w:spacing w:before="60" w:after="60"/>
              <w:jc w:val="center"/>
              <w:rPr>
                <w:sz w:val="20"/>
                <w:szCs w:val="20"/>
              </w:rPr>
            </w:pPr>
          </w:p>
        </w:tc>
        <w:tc>
          <w:tcPr>
            <w:tcW w:w="1404" w:type="dxa"/>
            <w:vAlign w:val="center"/>
          </w:tcPr>
          <w:p w:rsidR="006E6916" w:rsidRPr="00A61854" w:rsidRDefault="006E6916" w:rsidP="006E6916">
            <w:pPr>
              <w:spacing w:before="60" w:after="60"/>
              <w:jc w:val="center"/>
              <w:rPr>
                <w:sz w:val="18"/>
                <w:szCs w:val="20"/>
              </w:rPr>
            </w:pPr>
            <w:r>
              <w:rPr>
                <w:sz w:val="20"/>
                <w:szCs w:val="20"/>
              </w:rPr>
              <w:t>Once, at the end of execution period (</w:t>
            </w:r>
            <w:proofErr w:type="spellStart"/>
            <w:r>
              <w:rPr>
                <w:sz w:val="20"/>
                <w:szCs w:val="20"/>
              </w:rPr>
              <w:t>inc.</w:t>
            </w:r>
            <w:proofErr w:type="spellEnd"/>
            <w:r>
              <w:rPr>
                <w:sz w:val="20"/>
                <w:szCs w:val="20"/>
              </w:rPr>
              <w:t xml:space="preserve"> projected value for year 10)</w:t>
            </w:r>
          </w:p>
        </w:tc>
        <w:tc>
          <w:tcPr>
            <w:tcW w:w="5490" w:type="dxa"/>
            <w:vAlign w:val="center"/>
          </w:tcPr>
          <w:p w:rsidR="006E6916" w:rsidRPr="00F54C08" w:rsidRDefault="006E6916" w:rsidP="006E6916">
            <w:pPr>
              <w:spacing w:before="60" w:after="60"/>
              <w:rPr>
                <w:sz w:val="20"/>
                <w:szCs w:val="20"/>
              </w:rPr>
            </w:pPr>
            <w:r w:rsidRPr="00F54C08">
              <w:rPr>
                <w:sz w:val="20"/>
                <w:szCs w:val="20"/>
              </w:rPr>
              <w:t>Tons of GHG emissions that will be reduced or avoided once the plants financed by the program are commissioned</w:t>
            </w:r>
            <w:r>
              <w:rPr>
                <w:sz w:val="20"/>
                <w:szCs w:val="20"/>
              </w:rPr>
              <w:t>.</w:t>
            </w:r>
          </w:p>
          <w:p w:rsidR="006E6916" w:rsidRPr="00F54C08" w:rsidRDefault="006E6916" w:rsidP="006E6916">
            <w:pPr>
              <w:spacing w:before="60" w:after="60"/>
              <w:rPr>
                <w:sz w:val="20"/>
                <w:szCs w:val="20"/>
              </w:rPr>
            </w:pPr>
            <w:r>
              <w:rPr>
                <w:sz w:val="20"/>
                <w:szCs w:val="20"/>
              </w:rPr>
              <w:t>Source: IDB e</w:t>
            </w:r>
            <w:r w:rsidRPr="00F54C08">
              <w:rPr>
                <w:sz w:val="20"/>
                <w:szCs w:val="20"/>
              </w:rPr>
              <w:t xml:space="preserve">stimations made following IDB methodology, based on installed capacity (see indicator above), envisaged production, and </w:t>
            </w:r>
            <w:r>
              <w:rPr>
                <w:sz w:val="20"/>
                <w:szCs w:val="20"/>
              </w:rPr>
              <w:t xml:space="preserve">a 0.5 </w:t>
            </w:r>
            <w:r w:rsidRPr="00F54C08">
              <w:rPr>
                <w:sz w:val="20"/>
                <w:szCs w:val="20"/>
              </w:rPr>
              <w:t>average conversion factor for electricity generation in Mexico.</w:t>
            </w:r>
          </w:p>
          <w:p w:rsidR="006E6916" w:rsidRPr="00F54C08" w:rsidRDefault="006E6916" w:rsidP="006E6916">
            <w:pPr>
              <w:spacing w:before="60" w:after="60"/>
              <w:rPr>
                <w:sz w:val="20"/>
                <w:szCs w:val="20"/>
              </w:rPr>
            </w:pPr>
            <w:r>
              <w:rPr>
                <w:sz w:val="20"/>
                <w:szCs w:val="20"/>
              </w:rPr>
              <w:t>M</w:t>
            </w:r>
            <w:r w:rsidRPr="00F54C08">
              <w:rPr>
                <w:sz w:val="20"/>
                <w:szCs w:val="20"/>
              </w:rPr>
              <w:t>tCO</w:t>
            </w:r>
            <w:r w:rsidRPr="00F54C08">
              <w:rPr>
                <w:sz w:val="20"/>
                <w:szCs w:val="20"/>
                <w:vertAlign w:val="subscript"/>
              </w:rPr>
              <w:t>2</w:t>
            </w:r>
            <w:r w:rsidRPr="00F54C08">
              <w:rPr>
                <w:sz w:val="20"/>
                <w:szCs w:val="20"/>
              </w:rPr>
              <w:t xml:space="preserve">e = </w:t>
            </w:r>
            <w:r>
              <w:rPr>
                <w:sz w:val="20"/>
                <w:szCs w:val="20"/>
              </w:rPr>
              <w:t xml:space="preserve">Millions of </w:t>
            </w:r>
            <w:r w:rsidRPr="00F54C08">
              <w:rPr>
                <w:sz w:val="20"/>
                <w:szCs w:val="20"/>
              </w:rPr>
              <w:t>tons of CO</w:t>
            </w:r>
            <w:r w:rsidRPr="00F54C08">
              <w:rPr>
                <w:sz w:val="20"/>
                <w:szCs w:val="20"/>
                <w:vertAlign w:val="subscript"/>
              </w:rPr>
              <w:t>2</w:t>
            </w:r>
            <w:r w:rsidRPr="00F54C08">
              <w:rPr>
                <w:sz w:val="20"/>
                <w:szCs w:val="20"/>
              </w:rPr>
              <w:t xml:space="preserve"> equivalent</w:t>
            </w:r>
          </w:p>
        </w:tc>
      </w:tr>
      <w:tr w:rsidR="006E6916" w:rsidRPr="00951BEE" w:rsidTr="00BF4FC3">
        <w:trPr>
          <w:cantSplit/>
          <w:trHeight w:val="2555"/>
        </w:trPr>
        <w:tc>
          <w:tcPr>
            <w:tcW w:w="2394" w:type="dxa"/>
            <w:vAlign w:val="center"/>
          </w:tcPr>
          <w:p w:rsidR="006E6916" w:rsidRPr="004424E9" w:rsidRDefault="006E6916" w:rsidP="006E6916">
            <w:pPr>
              <w:pStyle w:val="ListParagraph"/>
              <w:ind w:left="0"/>
              <w:rPr>
                <w:sz w:val="20"/>
              </w:rPr>
            </w:pPr>
            <w:r w:rsidRPr="004424E9">
              <w:rPr>
                <w:sz w:val="20"/>
              </w:rPr>
              <w:t>Additional financing from third parties mobilized to complete geothermal projects financed at some stage by the program</w:t>
            </w:r>
          </w:p>
        </w:tc>
        <w:tc>
          <w:tcPr>
            <w:tcW w:w="900" w:type="dxa"/>
            <w:vAlign w:val="center"/>
          </w:tcPr>
          <w:p w:rsidR="006E6916" w:rsidRPr="00F54C08" w:rsidRDefault="006E6916" w:rsidP="006E6916">
            <w:pPr>
              <w:spacing w:before="60" w:after="60"/>
              <w:jc w:val="center"/>
              <w:rPr>
                <w:sz w:val="20"/>
                <w:szCs w:val="20"/>
              </w:rPr>
            </w:pPr>
            <w:r w:rsidRPr="00F54C08">
              <w:rPr>
                <w:sz w:val="20"/>
                <w:szCs w:val="20"/>
              </w:rPr>
              <w:t>Millions of USD</w:t>
            </w:r>
          </w:p>
        </w:tc>
        <w:tc>
          <w:tcPr>
            <w:tcW w:w="1404" w:type="dxa"/>
            <w:vAlign w:val="center"/>
          </w:tcPr>
          <w:p w:rsidR="006E6916" w:rsidRPr="00535E3A" w:rsidRDefault="006E6916" w:rsidP="006E6916">
            <w:pPr>
              <w:spacing w:before="60" w:after="60"/>
              <w:jc w:val="center"/>
              <w:rPr>
                <w:sz w:val="18"/>
                <w:szCs w:val="20"/>
              </w:rPr>
            </w:pPr>
            <w:r>
              <w:rPr>
                <w:sz w:val="18"/>
                <w:szCs w:val="20"/>
              </w:rPr>
              <w:t>Annual</w:t>
            </w:r>
          </w:p>
        </w:tc>
        <w:tc>
          <w:tcPr>
            <w:tcW w:w="5490" w:type="dxa"/>
            <w:vAlign w:val="center"/>
          </w:tcPr>
          <w:p w:rsidR="006E6916" w:rsidRPr="00F54C08" w:rsidRDefault="006E6916" w:rsidP="006E6916">
            <w:pPr>
              <w:spacing w:before="60" w:after="60"/>
              <w:rPr>
                <w:sz w:val="20"/>
                <w:szCs w:val="20"/>
              </w:rPr>
            </w:pPr>
            <w:r w:rsidRPr="00F54C08">
              <w:rPr>
                <w:sz w:val="20"/>
                <w:szCs w:val="20"/>
              </w:rPr>
              <w:t xml:space="preserve">Volume of </w:t>
            </w:r>
            <w:r>
              <w:rPr>
                <w:sz w:val="20"/>
                <w:szCs w:val="20"/>
              </w:rPr>
              <w:t xml:space="preserve">third-party </w:t>
            </w:r>
            <w:r w:rsidRPr="00F54C08">
              <w:rPr>
                <w:sz w:val="20"/>
                <w:szCs w:val="20"/>
              </w:rPr>
              <w:t>direct finance leveraged by the program</w:t>
            </w:r>
            <w:r>
              <w:rPr>
                <w:sz w:val="20"/>
                <w:szCs w:val="20"/>
              </w:rPr>
              <w:t xml:space="preserve"> for projects supported</w:t>
            </w:r>
            <w:r w:rsidRPr="00F54C08">
              <w:rPr>
                <w:sz w:val="20"/>
                <w:szCs w:val="20"/>
              </w:rPr>
              <w:t>. Includes all financing from sources other than the IDB/CTF funding (government, NAFIN and other financial institutions). Does not include capital</w:t>
            </w:r>
            <w:r>
              <w:rPr>
                <w:sz w:val="20"/>
                <w:szCs w:val="20"/>
              </w:rPr>
              <w:t>.</w:t>
            </w:r>
          </w:p>
          <w:p w:rsidR="006E6916" w:rsidRDefault="006E6916" w:rsidP="006E6916">
            <w:pPr>
              <w:spacing w:before="60" w:after="60"/>
              <w:rPr>
                <w:sz w:val="20"/>
                <w:szCs w:val="20"/>
              </w:rPr>
            </w:pPr>
            <w:r w:rsidRPr="00F54C08">
              <w:rPr>
                <w:sz w:val="20"/>
                <w:szCs w:val="20"/>
              </w:rPr>
              <w:t>Source:  Program report from NAFIN.</w:t>
            </w:r>
          </w:p>
          <w:p w:rsidR="006E6916" w:rsidRPr="00F54C08" w:rsidRDefault="006E6916" w:rsidP="006E6916">
            <w:pPr>
              <w:spacing w:before="60" w:after="60"/>
              <w:rPr>
                <w:sz w:val="20"/>
                <w:szCs w:val="20"/>
              </w:rPr>
            </w:pPr>
            <w:r w:rsidRPr="00F54C08">
              <w:rPr>
                <w:sz w:val="20"/>
                <w:szCs w:val="20"/>
              </w:rPr>
              <w:t xml:space="preserve">Estimations based on a 70:30 debt to equity ratio, investment costs of </w:t>
            </w:r>
            <w:r>
              <w:rPr>
                <w:sz w:val="20"/>
                <w:szCs w:val="20"/>
              </w:rPr>
              <w:t xml:space="preserve">US$5 million per well and </w:t>
            </w:r>
            <w:r w:rsidRPr="00F54C08">
              <w:rPr>
                <w:sz w:val="20"/>
                <w:szCs w:val="20"/>
              </w:rPr>
              <w:t>US$</w:t>
            </w:r>
            <w:r w:rsidR="00BF4FC3">
              <w:rPr>
                <w:sz w:val="20"/>
                <w:szCs w:val="20"/>
              </w:rPr>
              <w:t xml:space="preserve">2 to </w:t>
            </w:r>
            <w:r w:rsidRPr="00F54C08">
              <w:rPr>
                <w:sz w:val="20"/>
                <w:szCs w:val="20"/>
              </w:rPr>
              <w:t xml:space="preserve">4 million per MW installed. </w:t>
            </w:r>
          </w:p>
        </w:tc>
      </w:tr>
      <w:tr w:rsidR="006E6916" w:rsidRPr="00F54C08" w:rsidTr="00BF4FC3">
        <w:trPr>
          <w:cantSplit/>
        </w:trPr>
        <w:tc>
          <w:tcPr>
            <w:tcW w:w="2394" w:type="dxa"/>
            <w:tcBorders>
              <w:right w:val="nil"/>
            </w:tcBorders>
            <w:shd w:val="clear" w:color="auto" w:fill="BFBFBF" w:themeFill="background1" w:themeFillShade="BF"/>
            <w:vAlign w:val="center"/>
          </w:tcPr>
          <w:p w:rsidR="006E6916" w:rsidRPr="008938B6" w:rsidRDefault="006E6916" w:rsidP="006E6916">
            <w:pPr>
              <w:spacing w:before="60" w:after="60"/>
              <w:rPr>
                <w:b/>
                <w:sz w:val="20"/>
                <w:szCs w:val="20"/>
              </w:rPr>
            </w:pPr>
            <w:r w:rsidRPr="008938B6">
              <w:rPr>
                <w:b/>
                <w:smallCaps/>
                <w:sz w:val="20"/>
                <w:szCs w:val="20"/>
              </w:rPr>
              <w:t>Impacts</w:t>
            </w:r>
          </w:p>
        </w:tc>
        <w:tc>
          <w:tcPr>
            <w:tcW w:w="900" w:type="dxa"/>
            <w:tcBorders>
              <w:left w:val="nil"/>
              <w:right w:val="nil"/>
            </w:tcBorders>
            <w:shd w:val="clear" w:color="auto" w:fill="BFBFBF" w:themeFill="background1" w:themeFillShade="BF"/>
            <w:vAlign w:val="center"/>
          </w:tcPr>
          <w:p w:rsidR="006E6916" w:rsidRPr="00F54C08" w:rsidRDefault="006E6916" w:rsidP="006E6916">
            <w:pPr>
              <w:tabs>
                <w:tab w:val="center" w:pos="4252"/>
                <w:tab w:val="right" w:pos="8504"/>
              </w:tabs>
              <w:spacing w:before="60" w:after="60"/>
              <w:jc w:val="center"/>
              <w:rPr>
                <w:sz w:val="20"/>
                <w:szCs w:val="20"/>
              </w:rPr>
            </w:pPr>
          </w:p>
        </w:tc>
        <w:tc>
          <w:tcPr>
            <w:tcW w:w="1404" w:type="dxa"/>
            <w:tcBorders>
              <w:left w:val="nil"/>
              <w:right w:val="nil"/>
            </w:tcBorders>
            <w:shd w:val="clear" w:color="auto" w:fill="BFBFBF" w:themeFill="background1" w:themeFillShade="BF"/>
            <w:vAlign w:val="center"/>
          </w:tcPr>
          <w:p w:rsidR="006E6916" w:rsidRPr="00F54C08" w:rsidRDefault="006E6916" w:rsidP="006E6916">
            <w:pPr>
              <w:spacing w:before="60" w:after="60"/>
              <w:jc w:val="center"/>
              <w:rPr>
                <w:sz w:val="20"/>
                <w:szCs w:val="20"/>
              </w:rPr>
            </w:pPr>
          </w:p>
        </w:tc>
        <w:tc>
          <w:tcPr>
            <w:tcW w:w="5490" w:type="dxa"/>
            <w:tcBorders>
              <w:left w:val="nil"/>
            </w:tcBorders>
            <w:shd w:val="clear" w:color="auto" w:fill="BFBFBF" w:themeFill="background1" w:themeFillShade="BF"/>
            <w:vAlign w:val="center"/>
          </w:tcPr>
          <w:p w:rsidR="006E6916" w:rsidRPr="00F54C08" w:rsidRDefault="006E6916" w:rsidP="006E6916">
            <w:pPr>
              <w:spacing w:before="60" w:after="60"/>
              <w:rPr>
                <w:sz w:val="20"/>
                <w:szCs w:val="20"/>
              </w:rPr>
            </w:pPr>
          </w:p>
        </w:tc>
      </w:tr>
      <w:tr w:rsidR="006E6916" w:rsidRPr="004C0F21" w:rsidTr="00BF4FC3">
        <w:trPr>
          <w:cantSplit/>
        </w:trPr>
        <w:tc>
          <w:tcPr>
            <w:tcW w:w="2394" w:type="dxa"/>
            <w:vAlign w:val="center"/>
          </w:tcPr>
          <w:p w:rsidR="006E6916" w:rsidRPr="004424E9" w:rsidRDefault="006E6916" w:rsidP="006E6916">
            <w:pPr>
              <w:pStyle w:val="ListParagraph"/>
              <w:ind w:left="0"/>
              <w:rPr>
                <w:sz w:val="20"/>
              </w:rPr>
            </w:pPr>
            <w:r w:rsidRPr="004424E9">
              <w:rPr>
                <w:sz w:val="20"/>
              </w:rPr>
              <w:t>Total geothermal capacity installed in Mexico</w:t>
            </w:r>
          </w:p>
        </w:tc>
        <w:tc>
          <w:tcPr>
            <w:tcW w:w="900" w:type="dxa"/>
            <w:vAlign w:val="center"/>
          </w:tcPr>
          <w:p w:rsidR="006E6916" w:rsidRPr="00A2454E" w:rsidRDefault="006E6916" w:rsidP="006E6916">
            <w:pPr>
              <w:tabs>
                <w:tab w:val="center" w:pos="4252"/>
                <w:tab w:val="right" w:pos="8504"/>
              </w:tabs>
              <w:spacing w:before="60" w:after="60"/>
              <w:jc w:val="center"/>
              <w:rPr>
                <w:sz w:val="18"/>
                <w:szCs w:val="20"/>
              </w:rPr>
            </w:pPr>
            <w:proofErr w:type="spellStart"/>
            <w:r>
              <w:rPr>
                <w:sz w:val="18"/>
                <w:szCs w:val="20"/>
              </w:rPr>
              <w:t>MWe</w:t>
            </w:r>
            <w:proofErr w:type="spellEnd"/>
          </w:p>
        </w:tc>
        <w:tc>
          <w:tcPr>
            <w:tcW w:w="1404" w:type="dxa"/>
            <w:vAlign w:val="center"/>
          </w:tcPr>
          <w:p w:rsidR="006E6916" w:rsidRPr="00A2454E" w:rsidRDefault="006E6916" w:rsidP="006E6916">
            <w:pPr>
              <w:spacing w:before="60" w:after="60"/>
              <w:jc w:val="center"/>
              <w:rPr>
                <w:sz w:val="18"/>
                <w:szCs w:val="20"/>
              </w:rPr>
            </w:pPr>
            <w:r>
              <w:rPr>
                <w:sz w:val="18"/>
                <w:szCs w:val="18"/>
              </w:rPr>
              <w:t>Twice, baseline and end of execution period (</w:t>
            </w:r>
            <w:proofErr w:type="spellStart"/>
            <w:r>
              <w:rPr>
                <w:sz w:val="18"/>
                <w:szCs w:val="18"/>
              </w:rPr>
              <w:t>inc.</w:t>
            </w:r>
            <w:proofErr w:type="spellEnd"/>
            <w:r>
              <w:rPr>
                <w:sz w:val="18"/>
                <w:szCs w:val="18"/>
              </w:rPr>
              <w:t xml:space="preserve"> projected value for year 10)</w:t>
            </w:r>
          </w:p>
        </w:tc>
        <w:tc>
          <w:tcPr>
            <w:tcW w:w="5490" w:type="dxa"/>
            <w:vAlign w:val="center"/>
          </w:tcPr>
          <w:p w:rsidR="006E6916" w:rsidRPr="00A2454E" w:rsidRDefault="006E6916" w:rsidP="006E6916">
            <w:pPr>
              <w:spacing w:before="60" w:after="60"/>
              <w:rPr>
                <w:sz w:val="20"/>
                <w:szCs w:val="20"/>
              </w:rPr>
            </w:pPr>
            <w:r w:rsidRPr="00F54C08">
              <w:rPr>
                <w:sz w:val="20"/>
                <w:szCs w:val="20"/>
              </w:rPr>
              <w:t>Source: S</w:t>
            </w:r>
            <w:r>
              <w:rPr>
                <w:sz w:val="20"/>
                <w:szCs w:val="20"/>
              </w:rPr>
              <w:t xml:space="preserve">ENER, Balance </w:t>
            </w:r>
            <w:proofErr w:type="spellStart"/>
            <w:r>
              <w:rPr>
                <w:sz w:val="20"/>
                <w:szCs w:val="20"/>
              </w:rPr>
              <w:t>Nacional</w:t>
            </w:r>
            <w:proofErr w:type="spellEnd"/>
            <w:r>
              <w:rPr>
                <w:sz w:val="20"/>
                <w:szCs w:val="20"/>
              </w:rPr>
              <w:t xml:space="preserve"> de </w:t>
            </w:r>
            <w:proofErr w:type="spellStart"/>
            <w:r>
              <w:rPr>
                <w:sz w:val="20"/>
                <w:szCs w:val="20"/>
              </w:rPr>
              <w:t>Energi</w:t>
            </w:r>
            <w:r w:rsidRPr="00F54C08">
              <w:rPr>
                <w:sz w:val="20"/>
                <w:szCs w:val="20"/>
              </w:rPr>
              <w:t>a</w:t>
            </w:r>
            <w:proofErr w:type="spellEnd"/>
          </w:p>
        </w:tc>
      </w:tr>
      <w:tr w:rsidR="006E6916" w:rsidRPr="00951BEE" w:rsidTr="00BF4FC3">
        <w:trPr>
          <w:cantSplit/>
        </w:trPr>
        <w:tc>
          <w:tcPr>
            <w:tcW w:w="2394" w:type="dxa"/>
            <w:vAlign w:val="center"/>
          </w:tcPr>
          <w:p w:rsidR="006E6916" w:rsidRPr="004424E9" w:rsidRDefault="006E6916" w:rsidP="006E6916">
            <w:pPr>
              <w:pStyle w:val="ListParagraph"/>
              <w:ind w:left="0"/>
              <w:rPr>
                <w:sz w:val="20"/>
              </w:rPr>
            </w:pPr>
            <w:r w:rsidRPr="004424E9">
              <w:rPr>
                <w:sz w:val="20"/>
              </w:rPr>
              <w:t>Electricity production from geothermal sources in Mexico</w:t>
            </w:r>
          </w:p>
        </w:tc>
        <w:tc>
          <w:tcPr>
            <w:tcW w:w="900" w:type="dxa"/>
            <w:vAlign w:val="center"/>
          </w:tcPr>
          <w:p w:rsidR="006E6916" w:rsidRPr="00A2454E" w:rsidRDefault="006E6916" w:rsidP="006E6916">
            <w:pPr>
              <w:tabs>
                <w:tab w:val="center" w:pos="4252"/>
                <w:tab w:val="right" w:pos="8504"/>
              </w:tabs>
              <w:spacing w:before="60" w:after="60"/>
              <w:jc w:val="center"/>
              <w:rPr>
                <w:sz w:val="18"/>
                <w:szCs w:val="20"/>
              </w:rPr>
            </w:pPr>
            <w:proofErr w:type="spellStart"/>
            <w:r w:rsidRPr="00A2454E">
              <w:rPr>
                <w:sz w:val="18"/>
                <w:szCs w:val="20"/>
              </w:rPr>
              <w:t>GWh</w:t>
            </w:r>
            <w:proofErr w:type="spellEnd"/>
            <w:r w:rsidRPr="00A2454E">
              <w:rPr>
                <w:sz w:val="18"/>
                <w:szCs w:val="20"/>
              </w:rPr>
              <w:t>/</w:t>
            </w:r>
            <w:proofErr w:type="spellStart"/>
            <w:r w:rsidRPr="00A2454E">
              <w:rPr>
                <w:sz w:val="18"/>
                <w:szCs w:val="20"/>
              </w:rPr>
              <w:t>yr</w:t>
            </w:r>
            <w:proofErr w:type="spellEnd"/>
          </w:p>
        </w:tc>
        <w:tc>
          <w:tcPr>
            <w:tcW w:w="1404" w:type="dxa"/>
            <w:vAlign w:val="center"/>
          </w:tcPr>
          <w:p w:rsidR="006E6916" w:rsidRPr="00A2454E" w:rsidRDefault="006E6916" w:rsidP="006E6916">
            <w:pPr>
              <w:spacing w:before="60" w:after="60"/>
              <w:jc w:val="center"/>
              <w:rPr>
                <w:sz w:val="18"/>
                <w:szCs w:val="20"/>
              </w:rPr>
            </w:pPr>
            <w:r>
              <w:rPr>
                <w:sz w:val="18"/>
                <w:szCs w:val="18"/>
              </w:rPr>
              <w:t>Twice, baseline and end of execution period (</w:t>
            </w:r>
            <w:proofErr w:type="spellStart"/>
            <w:r>
              <w:rPr>
                <w:sz w:val="18"/>
                <w:szCs w:val="18"/>
              </w:rPr>
              <w:t>inc.</w:t>
            </w:r>
            <w:proofErr w:type="spellEnd"/>
            <w:r>
              <w:rPr>
                <w:sz w:val="18"/>
                <w:szCs w:val="18"/>
              </w:rPr>
              <w:t xml:space="preserve"> projected value for year 10)</w:t>
            </w:r>
          </w:p>
        </w:tc>
        <w:tc>
          <w:tcPr>
            <w:tcW w:w="5490" w:type="dxa"/>
            <w:vAlign w:val="center"/>
          </w:tcPr>
          <w:p w:rsidR="006E6916" w:rsidRPr="00A2454E" w:rsidRDefault="006E6916" w:rsidP="006E6916">
            <w:pPr>
              <w:spacing w:before="60" w:after="60"/>
              <w:rPr>
                <w:sz w:val="20"/>
                <w:szCs w:val="20"/>
              </w:rPr>
            </w:pPr>
            <w:r w:rsidRPr="00A2454E">
              <w:rPr>
                <w:sz w:val="20"/>
                <w:szCs w:val="20"/>
              </w:rPr>
              <w:t>Source: Public information from CRE and CFE. Estimations based on the average production factor in Mexico.</w:t>
            </w:r>
          </w:p>
        </w:tc>
      </w:tr>
      <w:tr w:rsidR="006E6916" w:rsidRPr="00F54C08" w:rsidTr="00BF4FC3">
        <w:trPr>
          <w:cantSplit/>
        </w:trPr>
        <w:tc>
          <w:tcPr>
            <w:tcW w:w="2394" w:type="dxa"/>
            <w:vAlign w:val="center"/>
          </w:tcPr>
          <w:p w:rsidR="006E6916" w:rsidRPr="004424E9" w:rsidRDefault="006E6916" w:rsidP="006E6916">
            <w:pPr>
              <w:pStyle w:val="ListParagraph"/>
              <w:spacing w:before="60" w:after="60"/>
              <w:ind w:left="0"/>
              <w:rPr>
                <w:sz w:val="20"/>
              </w:rPr>
            </w:pPr>
            <w:r w:rsidRPr="004424E9">
              <w:rPr>
                <w:sz w:val="20"/>
              </w:rPr>
              <w:t>Greenhouse gas (GHG) emissions in the Mexican energy sector</w:t>
            </w:r>
          </w:p>
        </w:tc>
        <w:tc>
          <w:tcPr>
            <w:tcW w:w="900" w:type="dxa"/>
            <w:vAlign w:val="center"/>
          </w:tcPr>
          <w:p w:rsidR="006E6916" w:rsidRPr="004D4B63" w:rsidRDefault="006E6916" w:rsidP="006E6916">
            <w:pPr>
              <w:spacing w:before="60" w:after="60"/>
              <w:jc w:val="center"/>
              <w:rPr>
                <w:sz w:val="18"/>
                <w:szCs w:val="20"/>
              </w:rPr>
            </w:pPr>
            <w:r w:rsidRPr="004D4B63">
              <w:rPr>
                <w:sz w:val="18"/>
                <w:szCs w:val="20"/>
              </w:rPr>
              <w:t>Mt CO</w:t>
            </w:r>
            <w:r w:rsidRPr="004D4B63">
              <w:rPr>
                <w:sz w:val="18"/>
                <w:szCs w:val="20"/>
                <w:vertAlign w:val="subscript"/>
              </w:rPr>
              <w:t>2</w:t>
            </w:r>
            <w:r w:rsidRPr="004D4B63">
              <w:rPr>
                <w:sz w:val="18"/>
                <w:szCs w:val="20"/>
              </w:rPr>
              <w:t>e</w:t>
            </w:r>
          </w:p>
        </w:tc>
        <w:tc>
          <w:tcPr>
            <w:tcW w:w="1404" w:type="dxa"/>
            <w:vAlign w:val="center"/>
          </w:tcPr>
          <w:p w:rsidR="006E6916" w:rsidRPr="00535E3A" w:rsidRDefault="006E6916" w:rsidP="006E6916">
            <w:pPr>
              <w:spacing w:before="60" w:after="60"/>
              <w:jc w:val="center"/>
              <w:rPr>
                <w:sz w:val="18"/>
                <w:szCs w:val="18"/>
              </w:rPr>
            </w:pPr>
            <w:r>
              <w:rPr>
                <w:sz w:val="18"/>
                <w:szCs w:val="18"/>
              </w:rPr>
              <w:t>Twice, baseline and end of execution period (</w:t>
            </w:r>
            <w:proofErr w:type="spellStart"/>
            <w:r>
              <w:rPr>
                <w:sz w:val="18"/>
                <w:szCs w:val="18"/>
              </w:rPr>
              <w:t>inc.</w:t>
            </w:r>
            <w:proofErr w:type="spellEnd"/>
            <w:r>
              <w:rPr>
                <w:sz w:val="18"/>
                <w:szCs w:val="18"/>
              </w:rPr>
              <w:t xml:space="preserve"> projected value for year 10)</w:t>
            </w:r>
          </w:p>
        </w:tc>
        <w:tc>
          <w:tcPr>
            <w:tcW w:w="5490" w:type="dxa"/>
            <w:vAlign w:val="center"/>
          </w:tcPr>
          <w:p w:rsidR="006E6916" w:rsidRPr="004424E9" w:rsidRDefault="006E6916" w:rsidP="006E6916">
            <w:pPr>
              <w:spacing w:before="60" w:after="60"/>
              <w:rPr>
                <w:sz w:val="20"/>
                <w:szCs w:val="20"/>
                <w:lang w:val="es-ES_tradnl"/>
              </w:rPr>
            </w:pPr>
            <w:proofErr w:type="spellStart"/>
            <w:r w:rsidRPr="004424E9">
              <w:rPr>
                <w:sz w:val="20"/>
                <w:szCs w:val="20"/>
                <w:lang w:val="es-ES_tradnl"/>
              </w:rPr>
              <w:t>Source</w:t>
            </w:r>
            <w:proofErr w:type="spellEnd"/>
            <w:proofErr w:type="gramStart"/>
            <w:r w:rsidRPr="004424E9">
              <w:rPr>
                <w:sz w:val="20"/>
                <w:szCs w:val="20"/>
                <w:lang w:val="es-ES_tradnl"/>
              </w:rPr>
              <w:t xml:space="preserve">: </w:t>
            </w:r>
            <w:r w:rsidR="008938B6" w:rsidRPr="004424E9">
              <w:rPr>
                <w:lang w:val="es-ES_tradnl"/>
              </w:rPr>
              <w:t xml:space="preserve"> </w:t>
            </w:r>
            <w:r w:rsidR="008938B6" w:rsidRPr="004424E9">
              <w:rPr>
                <w:sz w:val="20"/>
                <w:szCs w:val="20"/>
                <w:lang w:val="es-ES_tradnl"/>
              </w:rPr>
              <w:t>IDB</w:t>
            </w:r>
            <w:proofErr w:type="gramEnd"/>
            <w:r w:rsidR="008938B6" w:rsidRPr="004424E9">
              <w:rPr>
                <w:sz w:val="20"/>
                <w:szCs w:val="20"/>
                <w:lang w:val="es-ES_tradnl"/>
              </w:rPr>
              <w:t xml:space="preserve"> </w:t>
            </w:r>
            <w:proofErr w:type="spellStart"/>
            <w:r w:rsidR="008938B6" w:rsidRPr="004424E9">
              <w:rPr>
                <w:sz w:val="20"/>
                <w:szCs w:val="20"/>
                <w:lang w:val="es-ES_tradnl"/>
              </w:rPr>
              <w:t>estimations</w:t>
            </w:r>
            <w:proofErr w:type="spellEnd"/>
            <w:r w:rsidR="008938B6" w:rsidRPr="004424E9">
              <w:rPr>
                <w:sz w:val="20"/>
                <w:szCs w:val="20"/>
                <w:lang w:val="es-ES_tradnl"/>
              </w:rPr>
              <w:t xml:space="preserve"> </w:t>
            </w:r>
            <w:proofErr w:type="spellStart"/>
            <w:r w:rsidR="008938B6" w:rsidRPr="004424E9">
              <w:rPr>
                <w:sz w:val="20"/>
                <w:szCs w:val="20"/>
                <w:lang w:val="es-ES_tradnl"/>
              </w:rPr>
              <w:t>based</w:t>
            </w:r>
            <w:proofErr w:type="spellEnd"/>
            <w:r w:rsidR="008938B6" w:rsidRPr="004424E9">
              <w:rPr>
                <w:sz w:val="20"/>
                <w:szCs w:val="20"/>
                <w:lang w:val="es-ES_tradnl"/>
              </w:rPr>
              <w:t xml:space="preserve"> </w:t>
            </w:r>
            <w:proofErr w:type="spellStart"/>
            <w:r w:rsidR="008938B6" w:rsidRPr="004424E9">
              <w:rPr>
                <w:sz w:val="20"/>
                <w:szCs w:val="20"/>
                <w:lang w:val="es-ES_tradnl"/>
              </w:rPr>
              <w:t>on</w:t>
            </w:r>
            <w:proofErr w:type="spellEnd"/>
            <w:r w:rsidR="008938B6" w:rsidRPr="004424E9">
              <w:rPr>
                <w:sz w:val="20"/>
                <w:szCs w:val="20"/>
                <w:lang w:val="es-ES_tradnl"/>
              </w:rPr>
              <w:t xml:space="preserve"> Estrategia Nacional de Cambio Climático (ENACC) and Contribución sectorial a las emisiones, Quinta Comunicación al UNFCCC</w:t>
            </w:r>
            <w:r w:rsidR="008938B6">
              <w:rPr>
                <w:sz w:val="20"/>
                <w:szCs w:val="20"/>
                <w:lang w:val="es-ES_tradnl"/>
              </w:rPr>
              <w:t>.</w:t>
            </w:r>
          </w:p>
          <w:p w:rsidR="006E6916" w:rsidRPr="00F54C08" w:rsidRDefault="006E6916" w:rsidP="006E6916">
            <w:pPr>
              <w:spacing w:before="60" w:after="60"/>
              <w:rPr>
                <w:sz w:val="20"/>
                <w:szCs w:val="20"/>
                <w:lang w:eastAsia="es-ES"/>
              </w:rPr>
            </w:pPr>
            <w:r w:rsidRPr="00F54C08">
              <w:rPr>
                <w:sz w:val="20"/>
                <w:szCs w:val="20"/>
              </w:rPr>
              <w:t>MtCO</w:t>
            </w:r>
            <w:r w:rsidRPr="00F54C08">
              <w:rPr>
                <w:sz w:val="20"/>
                <w:szCs w:val="20"/>
                <w:vertAlign w:val="subscript"/>
              </w:rPr>
              <w:t>2</w:t>
            </w:r>
            <w:r w:rsidRPr="00F54C08">
              <w:rPr>
                <w:sz w:val="20"/>
                <w:szCs w:val="20"/>
              </w:rPr>
              <w:t>e = megatons of CO</w:t>
            </w:r>
            <w:r w:rsidRPr="00F54C08">
              <w:rPr>
                <w:sz w:val="20"/>
                <w:szCs w:val="20"/>
                <w:vertAlign w:val="subscript"/>
              </w:rPr>
              <w:t>2</w:t>
            </w:r>
            <w:r w:rsidRPr="00F54C08">
              <w:rPr>
                <w:sz w:val="20"/>
                <w:szCs w:val="20"/>
              </w:rPr>
              <w:t xml:space="preserve"> equivalent</w:t>
            </w:r>
          </w:p>
        </w:tc>
      </w:tr>
    </w:tbl>
    <w:p w:rsidR="00FB7282" w:rsidRDefault="00FB7282" w:rsidP="00E80F57">
      <w:pPr>
        <w:pStyle w:val="BodyText2"/>
        <w:spacing w:after="0" w:line="240" w:lineRule="auto"/>
        <w:jc w:val="center"/>
        <w:rPr>
          <w:b/>
          <w:szCs w:val="24"/>
          <w:lang w:val="en-US"/>
        </w:rPr>
      </w:pPr>
    </w:p>
    <w:p w:rsidR="009A3D7F" w:rsidRPr="004424E9" w:rsidRDefault="001A7E25" w:rsidP="004424E9">
      <w:pPr>
        <w:pStyle w:val="ListParagraph"/>
        <w:numPr>
          <w:ilvl w:val="0"/>
          <w:numId w:val="45"/>
        </w:numPr>
        <w:tabs>
          <w:tab w:val="left" w:pos="1440"/>
        </w:tabs>
        <w:ind w:left="360"/>
        <w:outlineLvl w:val="0"/>
        <w:rPr>
          <w:rFonts w:ascii="Times New Roman Bold" w:hAnsi="Times New Roman Bold" w:cs="Times New Roman"/>
          <w:b/>
          <w:smallCaps/>
          <w:noProof/>
          <w:sz w:val="28"/>
          <w:szCs w:val="28"/>
        </w:rPr>
      </w:pPr>
      <w:bookmarkStart w:id="33" w:name="_Toc375150066"/>
      <w:r w:rsidRPr="004424E9">
        <w:rPr>
          <w:rFonts w:ascii="Times New Roman Bold" w:hAnsi="Times New Roman Bold" w:cs="Times New Roman"/>
          <w:b/>
          <w:smallCaps/>
          <w:noProof/>
          <w:sz w:val="28"/>
          <w:szCs w:val="28"/>
        </w:rPr>
        <w:t>Evaluation Methodology</w:t>
      </w:r>
      <w:bookmarkEnd w:id="33"/>
    </w:p>
    <w:p w:rsidR="00C21513" w:rsidRPr="00C21513" w:rsidRDefault="00C21513" w:rsidP="00C21513">
      <w:pPr>
        <w:pStyle w:val="AutoNumpara"/>
        <w:rPr>
          <w:lang w:val="en-US"/>
        </w:rPr>
      </w:pPr>
      <w:r w:rsidRPr="00F65CDC">
        <w:rPr>
          <w:lang w:val="en-US"/>
        </w:rPr>
        <w:t>For the economic analysis, the N</w:t>
      </w:r>
      <w:r>
        <w:rPr>
          <w:lang w:val="en-US"/>
        </w:rPr>
        <w:t>et Present V</w:t>
      </w:r>
      <w:r w:rsidRPr="00F65CDC">
        <w:rPr>
          <w:lang w:val="en-US"/>
        </w:rPr>
        <w:t xml:space="preserve">alue (NPV) and </w:t>
      </w:r>
      <w:r>
        <w:rPr>
          <w:lang w:val="en-US"/>
        </w:rPr>
        <w:t xml:space="preserve">the </w:t>
      </w:r>
      <w:r w:rsidRPr="00F65CDC">
        <w:rPr>
          <w:lang w:val="en-US"/>
        </w:rPr>
        <w:t xml:space="preserve">Internal Rate of Return (IRR) are calculated for the lifespan of the program </w:t>
      </w:r>
      <w:r w:rsidRPr="0075638A">
        <w:rPr>
          <w:lang w:val="en-US"/>
        </w:rPr>
        <w:t>at a rate of 12%</w:t>
      </w:r>
      <w:r w:rsidRPr="00F65CDC">
        <w:rPr>
          <w:lang w:val="en-US"/>
        </w:rPr>
        <w:t xml:space="preserve">. This requires establishing the cost-benefit ratio. For the program, </w:t>
      </w:r>
      <w:r>
        <w:rPr>
          <w:lang w:val="en-US"/>
        </w:rPr>
        <w:t>one type of cost is set</w:t>
      </w:r>
      <w:r w:rsidR="008938B6">
        <w:rPr>
          <w:lang w:val="en-US"/>
        </w:rPr>
        <w:t>:</w:t>
      </w:r>
      <w:r>
        <w:rPr>
          <w:lang w:val="en-US"/>
        </w:rPr>
        <w:t xml:space="preserve"> (i)</w:t>
      </w:r>
      <w:r w:rsidRPr="00F65CDC">
        <w:rPr>
          <w:lang w:val="en-US"/>
        </w:rPr>
        <w:t xml:space="preserve"> investment</w:t>
      </w:r>
      <w:r>
        <w:rPr>
          <w:lang w:val="en-US"/>
        </w:rPr>
        <w:t>. On the other side, there will be two</w:t>
      </w:r>
      <w:r w:rsidRPr="00F65CDC">
        <w:rPr>
          <w:lang w:val="en-US"/>
        </w:rPr>
        <w:t xml:space="preserve"> types of benefits:</w:t>
      </w:r>
      <w:r>
        <w:rPr>
          <w:lang w:val="en-US"/>
        </w:rPr>
        <w:t xml:space="preserve"> (i) </w:t>
      </w:r>
      <w:r w:rsidRPr="00F65CDC">
        <w:rPr>
          <w:lang w:val="en-US"/>
        </w:rPr>
        <w:t>savings in electricity generation</w:t>
      </w:r>
      <w:r>
        <w:rPr>
          <w:lang w:val="en-US"/>
        </w:rPr>
        <w:t>; and (ii)</w:t>
      </w:r>
      <w:r w:rsidRPr="00186AC2">
        <w:rPr>
          <w:lang w:val="en-US"/>
        </w:rPr>
        <w:t xml:space="preserve"> GHG emissions reduced</w:t>
      </w:r>
      <w:r>
        <w:rPr>
          <w:lang w:val="en-US"/>
        </w:rPr>
        <w:t>.</w:t>
      </w:r>
    </w:p>
    <w:p w:rsidR="009A3D7F" w:rsidRDefault="009A3D7F" w:rsidP="00165E48">
      <w:pPr>
        <w:pStyle w:val="AutoNumpara"/>
        <w:rPr>
          <w:lang w:val="en-US"/>
        </w:rPr>
      </w:pPr>
      <w:r>
        <w:rPr>
          <w:lang w:val="en-US"/>
        </w:rPr>
        <w:t>The evaluation will follow a</w:t>
      </w:r>
      <w:r w:rsidR="00B7388C">
        <w:rPr>
          <w:lang w:val="en-US"/>
        </w:rPr>
        <w:t>n ex-post</w:t>
      </w:r>
      <w:r w:rsidR="005D487C">
        <w:rPr>
          <w:lang w:val="en-US"/>
        </w:rPr>
        <w:t xml:space="preserve"> </w:t>
      </w:r>
      <w:r w:rsidR="00500E1F">
        <w:rPr>
          <w:lang w:val="en-US"/>
        </w:rPr>
        <w:t xml:space="preserve">cost-benefit </w:t>
      </w:r>
      <w:r w:rsidR="005D487C">
        <w:rPr>
          <w:lang w:val="en-US"/>
        </w:rPr>
        <w:t>analysis</w:t>
      </w:r>
      <w:r>
        <w:rPr>
          <w:lang w:val="en-US"/>
        </w:rPr>
        <w:t xml:space="preserve">, based on the data collected by the set of indicators detailed above. </w:t>
      </w:r>
    </w:p>
    <w:p w:rsidR="009A3D7F" w:rsidRPr="00591D7C" w:rsidRDefault="00BE7825" w:rsidP="004424E9">
      <w:pPr>
        <w:pStyle w:val="AutoNumpara"/>
        <w:numPr>
          <w:ilvl w:val="0"/>
          <w:numId w:val="8"/>
        </w:numPr>
        <w:ind w:left="1170"/>
        <w:rPr>
          <w:b/>
          <w:lang w:val="en-US"/>
        </w:rPr>
      </w:pPr>
      <w:r w:rsidRPr="00591D7C">
        <w:rPr>
          <w:b/>
          <w:lang w:val="en-US"/>
        </w:rPr>
        <w:t>Costs</w:t>
      </w:r>
    </w:p>
    <w:p w:rsidR="00CA7DCF" w:rsidRPr="00591D7C" w:rsidRDefault="00E6532B" w:rsidP="004424E9">
      <w:pPr>
        <w:pStyle w:val="AutoNumpara"/>
        <w:numPr>
          <w:ilvl w:val="0"/>
          <w:numId w:val="9"/>
        </w:numPr>
        <w:ind w:left="1170"/>
        <w:rPr>
          <w:lang w:val="en-US"/>
        </w:rPr>
      </w:pPr>
      <w:r w:rsidRPr="00591D7C">
        <w:rPr>
          <w:lang w:val="en-US"/>
        </w:rPr>
        <w:t>Investment Costs</w:t>
      </w:r>
    </w:p>
    <w:p w:rsidR="00E6532B" w:rsidRPr="00A02DBF" w:rsidRDefault="00E6532B" w:rsidP="004424E9">
      <w:pPr>
        <w:pStyle w:val="AutoNumpara"/>
        <w:numPr>
          <w:ilvl w:val="0"/>
          <w:numId w:val="0"/>
        </w:numPr>
        <w:ind w:left="1170"/>
        <w:rPr>
          <w:lang w:val="en-US"/>
        </w:rPr>
      </w:pPr>
      <w:r w:rsidRPr="00591D7C">
        <w:rPr>
          <w:lang w:val="en-US"/>
        </w:rPr>
        <w:t>Data of the annual progress reports, and any information relating to investments made during the program will be used.</w:t>
      </w:r>
      <w:r w:rsidR="00314225">
        <w:rPr>
          <w:lang w:val="en-US"/>
        </w:rPr>
        <w:t xml:space="preserve"> We have to distinguish between the financing of the program and </w:t>
      </w:r>
      <w:r w:rsidR="00CC7434">
        <w:rPr>
          <w:lang w:val="en-US"/>
        </w:rPr>
        <w:t xml:space="preserve">the financing </w:t>
      </w:r>
      <w:r w:rsidR="00314225">
        <w:rPr>
          <w:lang w:val="en-US"/>
        </w:rPr>
        <w:t xml:space="preserve">from third parties. </w:t>
      </w:r>
    </w:p>
    <w:p w:rsidR="00CA7DCF" w:rsidRPr="00F46869" w:rsidRDefault="00E6532B" w:rsidP="004424E9">
      <w:pPr>
        <w:pStyle w:val="AutoNumpara"/>
        <w:numPr>
          <w:ilvl w:val="0"/>
          <w:numId w:val="8"/>
        </w:numPr>
        <w:ind w:left="1170"/>
        <w:rPr>
          <w:b/>
          <w:lang w:val="en-US"/>
        </w:rPr>
      </w:pPr>
      <w:r w:rsidRPr="00F46869">
        <w:rPr>
          <w:b/>
          <w:lang w:val="en-US"/>
        </w:rPr>
        <w:t>Benefits</w:t>
      </w:r>
      <w:r w:rsidR="00FD41F8" w:rsidRPr="004424E9">
        <w:rPr>
          <w:rStyle w:val="FootnoteReference"/>
          <w:b/>
          <w:lang w:val="en-US"/>
        </w:rPr>
        <w:footnoteReference w:id="13"/>
      </w:r>
    </w:p>
    <w:p w:rsidR="00E6532B" w:rsidRPr="00115738" w:rsidRDefault="00E6532B" w:rsidP="00115738">
      <w:pPr>
        <w:pStyle w:val="AutoNumpara"/>
        <w:numPr>
          <w:ilvl w:val="0"/>
          <w:numId w:val="0"/>
        </w:numPr>
        <w:ind w:left="1170"/>
        <w:rPr>
          <w:lang w:val="en-US"/>
        </w:rPr>
      </w:pPr>
      <w:r w:rsidRPr="00E6532B">
        <w:rPr>
          <w:lang w:val="en-US"/>
        </w:rPr>
        <w:t xml:space="preserve">The information for calculating the benefits of the program come from the power generation capacity installed via the projects and the contribution to reduction of GHG emissions. The </w:t>
      </w:r>
      <w:r w:rsidR="00FB5D67">
        <w:rPr>
          <w:lang w:val="en-US"/>
        </w:rPr>
        <w:t>Monitoring Progress Reports</w:t>
      </w:r>
      <w:r w:rsidRPr="00E6532B">
        <w:rPr>
          <w:lang w:val="en-US"/>
        </w:rPr>
        <w:t xml:space="preserve"> </w:t>
      </w:r>
      <w:r w:rsidR="00FB5D67">
        <w:rPr>
          <w:lang w:val="en-US"/>
        </w:rPr>
        <w:t xml:space="preserve">will be used to </w:t>
      </w:r>
      <w:r w:rsidRPr="00E6532B">
        <w:rPr>
          <w:lang w:val="en-US"/>
        </w:rPr>
        <w:t xml:space="preserve">verify the </w:t>
      </w:r>
      <w:r w:rsidR="00FB5D67">
        <w:rPr>
          <w:lang w:val="en-US"/>
        </w:rPr>
        <w:t>benefits</w:t>
      </w:r>
      <w:r w:rsidRPr="00E6532B">
        <w:rPr>
          <w:lang w:val="en-US"/>
        </w:rPr>
        <w:t xml:space="preserve">. Based on these targets, the benefits considered consist of: </w:t>
      </w:r>
    </w:p>
    <w:p w:rsidR="00711F14" w:rsidRPr="00711F14" w:rsidRDefault="002351F0" w:rsidP="008D4B06">
      <w:pPr>
        <w:pStyle w:val="AutoNumpara"/>
        <w:numPr>
          <w:ilvl w:val="0"/>
          <w:numId w:val="10"/>
        </w:numPr>
        <w:ind w:left="1170"/>
        <w:rPr>
          <w:lang w:val="en-US"/>
        </w:rPr>
      </w:pPr>
      <w:r w:rsidRPr="005D209C">
        <w:rPr>
          <w:lang w:val="en-US"/>
        </w:rPr>
        <w:t>S</w:t>
      </w:r>
      <w:r w:rsidRPr="00E6532B">
        <w:rPr>
          <w:lang w:val="en-US"/>
        </w:rPr>
        <w:t xml:space="preserve">AVINGS IN ELECTRICITY </w:t>
      </w:r>
    </w:p>
    <w:p w:rsidR="003F6BA0" w:rsidRDefault="00711F14" w:rsidP="008D4B06">
      <w:pPr>
        <w:pStyle w:val="AutoNumpara"/>
        <w:numPr>
          <w:ilvl w:val="0"/>
          <w:numId w:val="0"/>
        </w:numPr>
        <w:ind w:left="1170"/>
        <w:rPr>
          <w:lang w:val="en-US"/>
        </w:rPr>
      </w:pPr>
      <w:r w:rsidRPr="005D209C">
        <w:rPr>
          <w:lang w:val="en-US"/>
        </w:rPr>
        <w:t xml:space="preserve">This benefit will compare the difference </w:t>
      </w:r>
      <w:r w:rsidR="00D8336B">
        <w:rPr>
          <w:lang w:val="en-US"/>
        </w:rPr>
        <w:t>between</w:t>
      </w:r>
      <w:r w:rsidR="00D8336B" w:rsidRPr="005D209C">
        <w:rPr>
          <w:lang w:val="en-US"/>
        </w:rPr>
        <w:t xml:space="preserve"> </w:t>
      </w:r>
      <w:r w:rsidRPr="005D209C">
        <w:rPr>
          <w:lang w:val="en-US"/>
        </w:rPr>
        <w:t xml:space="preserve">the generation cost of a pool of </w:t>
      </w:r>
      <w:r w:rsidRPr="0068373D">
        <w:rPr>
          <w:lang w:val="en-US"/>
        </w:rPr>
        <w:t>renewable energies in Mexico</w:t>
      </w:r>
      <w:r w:rsidRPr="005D209C">
        <w:rPr>
          <w:lang w:val="en-US"/>
        </w:rPr>
        <w:t xml:space="preserve"> and the generation cost of energy by geothermal technology</w:t>
      </w:r>
      <w:r w:rsidR="00FD41F8">
        <w:rPr>
          <w:lang w:val="en-US"/>
        </w:rPr>
        <w:t>,</w:t>
      </w:r>
      <w:r w:rsidR="003F6BA0">
        <w:rPr>
          <w:lang w:val="en-US"/>
        </w:rPr>
        <w:t xml:space="preserve"> following the next steps:</w:t>
      </w:r>
    </w:p>
    <w:p w:rsidR="0091246A" w:rsidRPr="004424E9" w:rsidRDefault="0091246A" w:rsidP="003F6BA0">
      <w:pPr>
        <w:pStyle w:val="AutoNumpara"/>
        <w:numPr>
          <w:ilvl w:val="0"/>
          <w:numId w:val="0"/>
        </w:numPr>
        <w:ind w:left="1440"/>
        <w:rPr>
          <w:u w:val="single"/>
          <w:lang w:val="en-US"/>
        </w:rPr>
      </w:pPr>
      <w:r w:rsidRPr="004424E9">
        <w:rPr>
          <w:u w:val="single"/>
          <w:lang w:val="en-US"/>
        </w:rPr>
        <w:t>Costs of Geothermal energy generation</w:t>
      </w:r>
    </w:p>
    <w:p w:rsidR="0018131E" w:rsidRDefault="0018131E" w:rsidP="004424E9">
      <w:pPr>
        <w:pStyle w:val="AutoNumpara"/>
        <w:numPr>
          <w:ilvl w:val="0"/>
          <w:numId w:val="18"/>
        </w:numPr>
        <w:ind w:left="1800"/>
        <w:rPr>
          <w:lang w:val="en-US"/>
        </w:rPr>
      </w:pPr>
      <w:r w:rsidRPr="0018131E">
        <w:rPr>
          <w:lang w:val="en-US"/>
        </w:rPr>
        <w:t>Take the new installed capacity financed by the program</w:t>
      </w:r>
      <w:r w:rsidR="00CE3FAF">
        <w:rPr>
          <w:lang w:val="en-US"/>
        </w:rPr>
        <w:t xml:space="preserve"> since the plants start generating power</w:t>
      </w:r>
      <w:r w:rsidR="007C49D8">
        <w:rPr>
          <w:lang w:val="en-US"/>
        </w:rPr>
        <w:t xml:space="preserve">. </w:t>
      </w:r>
    </w:p>
    <w:p w:rsidR="002A5ADD" w:rsidRPr="004424E9" w:rsidRDefault="008363D7" w:rsidP="004424E9">
      <w:pPr>
        <w:pStyle w:val="BodyText2"/>
        <w:spacing w:after="0" w:line="240" w:lineRule="auto"/>
        <w:ind w:left="2160"/>
        <w:rPr>
          <w:b/>
          <w:szCs w:val="24"/>
          <w:lang w:val="en-US"/>
        </w:rPr>
      </w:pPr>
      <w:r>
        <w:rPr>
          <w:b/>
          <w:szCs w:val="24"/>
          <w:lang w:val="en-US"/>
        </w:rPr>
        <w:t xml:space="preserve">                </w:t>
      </w:r>
      <w:r w:rsidRPr="007969EB">
        <w:rPr>
          <w:b/>
          <w:szCs w:val="24"/>
          <w:lang w:val="en-US"/>
        </w:rPr>
        <w:t xml:space="preserve">Table </w:t>
      </w:r>
      <w:r>
        <w:rPr>
          <w:b/>
          <w:szCs w:val="24"/>
          <w:lang w:val="en-US"/>
        </w:rPr>
        <w:t>3.2:</w:t>
      </w:r>
      <w:r w:rsidRPr="007969EB">
        <w:rPr>
          <w:b/>
          <w:szCs w:val="24"/>
          <w:lang w:val="en-US"/>
        </w:rPr>
        <w:t xml:space="preserve"> </w:t>
      </w:r>
      <w:r w:rsidR="003E1D93">
        <w:rPr>
          <w:b/>
          <w:szCs w:val="24"/>
          <w:lang w:val="en-US"/>
        </w:rPr>
        <w:t>Data collection</w:t>
      </w:r>
    </w:p>
    <w:tbl>
      <w:tblPr>
        <w:tblStyle w:val="LightList"/>
        <w:tblW w:w="10182" w:type="dxa"/>
        <w:jc w:val="center"/>
        <w:tblInd w:w="-612" w:type="dxa"/>
        <w:tblLayout w:type="fixed"/>
        <w:tblLook w:val="04A0" w:firstRow="1" w:lastRow="0" w:firstColumn="1" w:lastColumn="0" w:noHBand="0" w:noVBand="1"/>
      </w:tblPr>
      <w:tblGrid>
        <w:gridCol w:w="1708"/>
        <w:gridCol w:w="715"/>
        <w:gridCol w:w="715"/>
        <w:gridCol w:w="716"/>
        <w:gridCol w:w="716"/>
        <w:gridCol w:w="650"/>
        <w:gridCol w:w="43"/>
        <w:gridCol w:w="677"/>
        <w:gridCol w:w="16"/>
        <w:gridCol w:w="681"/>
        <w:gridCol w:w="13"/>
        <w:gridCol w:w="100"/>
        <w:gridCol w:w="585"/>
        <w:gridCol w:w="8"/>
        <w:gridCol w:w="37"/>
        <w:gridCol w:w="31"/>
        <w:gridCol w:w="599"/>
        <w:gridCol w:w="26"/>
        <w:gridCol w:w="21"/>
        <w:gridCol w:w="15"/>
        <w:gridCol w:w="662"/>
        <w:gridCol w:w="724"/>
        <w:gridCol w:w="724"/>
      </w:tblGrid>
      <w:tr w:rsidR="006A2F52" w:rsidTr="00676DCC">
        <w:trPr>
          <w:cnfStyle w:val="100000000000" w:firstRow="1" w:lastRow="0" w:firstColumn="0" w:lastColumn="0" w:oddVBand="0" w:evenVBand="0" w:oddHBand="0"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1708" w:type="dxa"/>
            <w:tcBorders>
              <w:top w:val="single" w:sz="8" w:space="0" w:color="000000" w:themeColor="text1"/>
              <w:left w:val="single" w:sz="8" w:space="0" w:color="000000" w:themeColor="text1"/>
              <w:bottom w:val="nil"/>
              <w:right w:val="nil"/>
            </w:tcBorders>
            <w:vAlign w:val="center"/>
            <w:hideMark/>
          </w:tcPr>
          <w:p w:rsidR="00676DCC" w:rsidRDefault="00676DCC">
            <w:pPr>
              <w:pStyle w:val="Paragraph"/>
              <w:tabs>
                <w:tab w:val="clear" w:pos="720"/>
                <w:tab w:val="left" w:pos="708"/>
              </w:tabs>
              <w:spacing w:before="0" w:after="0"/>
              <w:ind w:left="0" w:firstLine="0"/>
              <w:jc w:val="center"/>
              <w:rPr>
                <w:rFonts w:eastAsiaTheme="minorEastAsia"/>
                <w:sz w:val="20"/>
                <w:szCs w:val="20"/>
                <w:lang w:val="en-US" w:eastAsia="en-US"/>
              </w:rPr>
            </w:pPr>
            <w:r>
              <w:rPr>
                <w:sz w:val="20"/>
                <w:szCs w:val="20"/>
              </w:rPr>
              <w:t>Project</w:t>
            </w:r>
          </w:p>
        </w:tc>
        <w:tc>
          <w:tcPr>
            <w:tcW w:w="715" w:type="dxa"/>
            <w:tcBorders>
              <w:top w:val="single" w:sz="8" w:space="0" w:color="000000" w:themeColor="text1"/>
              <w:left w:val="nil"/>
              <w:bottom w:val="nil"/>
              <w:right w:val="nil"/>
            </w:tcBorders>
            <w:vAlign w:val="center"/>
            <w:hideMark/>
          </w:tcPr>
          <w:p w:rsidR="00676DCC" w:rsidRDefault="00676DCC">
            <w:pPr>
              <w:pStyle w:val="Paragraph"/>
              <w:tabs>
                <w:tab w:val="clear" w:pos="720"/>
                <w:tab w:val="left" w:pos="708"/>
              </w:tabs>
              <w:spacing w:before="0" w:after="0"/>
              <w:ind w:left="0" w:firstLine="0"/>
              <w:jc w:val="center"/>
              <w:cnfStyle w:val="100000000000" w:firstRow="1" w:lastRow="0" w:firstColumn="0" w:lastColumn="0" w:oddVBand="0" w:evenVBand="0" w:oddHBand="0" w:evenHBand="0" w:firstRowFirstColumn="0" w:firstRowLastColumn="0" w:lastRowFirstColumn="0" w:lastRowLastColumn="0"/>
              <w:rPr>
                <w:rFonts w:eastAsiaTheme="minorEastAsia"/>
                <w:sz w:val="20"/>
                <w:szCs w:val="20"/>
                <w:lang w:val="en-US" w:eastAsia="en-US"/>
              </w:rPr>
            </w:pPr>
            <w:r>
              <w:rPr>
                <w:sz w:val="20"/>
                <w:szCs w:val="20"/>
              </w:rPr>
              <w:t>2015</w:t>
            </w:r>
          </w:p>
        </w:tc>
        <w:tc>
          <w:tcPr>
            <w:tcW w:w="715" w:type="dxa"/>
            <w:tcBorders>
              <w:top w:val="single" w:sz="8" w:space="0" w:color="000000" w:themeColor="text1"/>
              <w:left w:val="nil"/>
              <w:bottom w:val="nil"/>
              <w:right w:val="nil"/>
            </w:tcBorders>
            <w:vAlign w:val="center"/>
            <w:hideMark/>
          </w:tcPr>
          <w:p w:rsidR="00676DCC" w:rsidRDefault="00676DCC">
            <w:pPr>
              <w:pStyle w:val="Paragraph"/>
              <w:tabs>
                <w:tab w:val="clear" w:pos="720"/>
                <w:tab w:val="left" w:pos="708"/>
              </w:tabs>
              <w:spacing w:before="0" w:after="0"/>
              <w:ind w:left="0" w:firstLine="0"/>
              <w:jc w:val="center"/>
              <w:cnfStyle w:val="100000000000" w:firstRow="1" w:lastRow="0" w:firstColumn="0" w:lastColumn="0" w:oddVBand="0" w:evenVBand="0" w:oddHBand="0" w:evenHBand="0" w:firstRowFirstColumn="0" w:firstRowLastColumn="0" w:lastRowFirstColumn="0" w:lastRowLastColumn="0"/>
              <w:rPr>
                <w:rFonts w:eastAsiaTheme="minorEastAsia"/>
                <w:sz w:val="20"/>
                <w:szCs w:val="20"/>
                <w:lang w:val="en-US" w:eastAsia="en-US"/>
              </w:rPr>
            </w:pPr>
            <w:r>
              <w:rPr>
                <w:sz w:val="20"/>
                <w:szCs w:val="20"/>
              </w:rPr>
              <w:t>2016</w:t>
            </w:r>
          </w:p>
        </w:tc>
        <w:tc>
          <w:tcPr>
            <w:tcW w:w="716" w:type="dxa"/>
            <w:tcBorders>
              <w:top w:val="single" w:sz="8" w:space="0" w:color="000000" w:themeColor="text1"/>
              <w:left w:val="nil"/>
              <w:bottom w:val="nil"/>
              <w:right w:val="nil"/>
            </w:tcBorders>
            <w:vAlign w:val="center"/>
            <w:hideMark/>
          </w:tcPr>
          <w:p w:rsidR="00676DCC" w:rsidRDefault="00676DCC">
            <w:pPr>
              <w:pStyle w:val="Paragraph"/>
              <w:tabs>
                <w:tab w:val="clear" w:pos="720"/>
                <w:tab w:val="left" w:pos="708"/>
              </w:tabs>
              <w:spacing w:before="0" w:after="0"/>
              <w:ind w:left="0" w:firstLine="0"/>
              <w:jc w:val="center"/>
              <w:cnfStyle w:val="100000000000" w:firstRow="1" w:lastRow="0" w:firstColumn="0" w:lastColumn="0" w:oddVBand="0" w:evenVBand="0" w:oddHBand="0" w:evenHBand="0" w:firstRowFirstColumn="0" w:firstRowLastColumn="0" w:lastRowFirstColumn="0" w:lastRowLastColumn="0"/>
              <w:rPr>
                <w:rFonts w:eastAsiaTheme="minorEastAsia"/>
                <w:sz w:val="20"/>
                <w:szCs w:val="20"/>
                <w:lang w:val="en-US" w:eastAsia="en-US"/>
              </w:rPr>
            </w:pPr>
            <w:r>
              <w:rPr>
                <w:sz w:val="20"/>
                <w:szCs w:val="20"/>
              </w:rPr>
              <w:t>2017</w:t>
            </w:r>
          </w:p>
        </w:tc>
        <w:tc>
          <w:tcPr>
            <w:tcW w:w="716" w:type="dxa"/>
            <w:tcBorders>
              <w:top w:val="single" w:sz="8" w:space="0" w:color="000000" w:themeColor="text1"/>
              <w:left w:val="nil"/>
              <w:bottom w:val="nil"/>
              <w:right w:val="nil"/>
            </w:tcBorders>
            <w:vAlign w:val="center"/>
            <w:hideMark/>
          </w:tcPr>
          <w:p w:rsidR="00676DCC" w:rsidRDefault="00676DCC">
            <w:pPr>
              <w:pStyle w:val="Paragraph"/>
              <w:tabs>
                <w:tab w:val="clear" w:pos="720"/>
                <w:tab w:val="left" w:pos="708"/>
              </w:tabs>
              <w:spacing w:before="0" w:after="0"/>
              <w:ind w:left="0" w:firstLine="0"/>
              <w:jc w:val="center"/>
              <w:cnfStyle w:val="100000000000" w:firstRow="1" w:lastRow="0" w:firstColumn="0" w:lastColumn="0" w:oddVBand="0" w:evenVBand="0" w:oddHBand="0" w:evenHBand="0" w:firstRowFirstColumn="0" w:firstRowLastColumn="0" w:lastRowFirstColumn="0" w:lastRowLastColumn="0"/>
              <w:rPr>
                <w:rFonts w:eastAsiaTheme="minorEastAsia"/>
                <w:sz w:val="20"/>
                <w:szCs w:val="20"/>
                <w:lang w:val="en-US" w:eastAsia="en-US"/>
              </w:rPr>
            </w:pPr>
            <w:r>
              <w:rPr>
                <w:sz w:val="20"/>
                <w:szCs w:val="20"/>
              </w:rPr>
              <w:t>2018</w:t>
            </w:r>
          </w:p>
        </w:tc>
        <w:tc>
          <w:tcPr>
            <w:tcW w:w="650" w:type="dxa"/>
            <w:tcBorders>
              <w:top w:val="single" w:sz="8" w:space="0" w:color="000000" w:themeColor="text1"/>
              <w:left w:val="nil"/>
              <w:bottom w:val="nil"/>
              <w:right w:val="nil"/>
            </w:tcBorders>
            <w:vAlign w:val="center"/>
            <w:hideMark/>
          </w:tcPr>
          <w:p w:rsidR="00676DCC" w:rsidRDefault="00676DCC">
            <w:pPr>
              <w:pStyle w:val="Paragraph"/>
              <w:tabs>
                <w:tab w:val="clear" w:pos="720"/>
                <w:tab w:val="left" w:pos="708"/>
              </w:tabs>
              <w:spacing w:before="0" w:after="0"/>
              <w:ind w:left="0" w:firstLine="0"/>
              <w:jc w:val="center"/>
              <w:cnfStyle w:val="100000000000" w:firstRow="1" w:lastRow="0" w:firstColumn="0" w:lastColumn="0" w:oddVBand="0" w:evenVBand="0" w:oddHBand="0" w:evenHBand="0" w:firstRowFirstColumn="0" w:firstRowLastColumn="0" w:lastRowFirstColumn="0" w:lastRowLastColumn="0"/>
              <w:rPr>
                <w:rFonts w:eastAsiaTheme="minorEastAsia"/>
                <w:sz w:val="20"/>
                <w:szCs w:val="20"/>
                <w:lang w:val="en-US" w:eastAsia="en-US"/>
              </w:rPr>
            </w:pPr>
            <w:r>
              <w:rPr>
                <w:sz w:val="20"/>
                <w:szCs w:val="20"/>
              </w:rPr>
              <w:t>2019</w:t>
            </w:r>
          </w:p>
        </w:tc>
        <w:tc>
          <w:tcPr>
            <w:tcW w:w="720" w:type="dxa"/>
            <w:gridSpan w:val="2"/>
            <w:tcBorders>
              <w:top w:val="single" w:sz="8" w:space="0" w:color="000000" w:themeColor="text1"/>
              <w:left w:val="nil"/>
              <w:bottom w:val="nil"/>
              <w:right w:val="nil"/>
            </w:tcBorders>
            <w:vAlign w:val="center"/>
            <w:hideMark/>
          </w:tcPr>
          <w:p w:rsidR="00676DCC" w:rsidRDefault="00676DCC">
            <w:pPr>
              <w:pStyle w:val="Paragraph"/>
              <w:tabs>
                <w:tab w:val="clear" w:pos="720"/>
                <w:tab w:val="left" w:pos="708"/>
              </w:tabs>
              <w:spacing w:before="0" w:after="0"/>
              <w:ind w:left="0" w:firstLine="0"/>
              <w:jc w:val="center"/>
              <w:cnfStyle w:val="100000000000" w:firstRow="1" w:lastRow="0" w:firstColumn="0" w:lastColumn="0" w:oddVBand="0" w:evenVBand="0" w:oddHBand="0" w:evenHBand="0" w:firstRowFirstColumn="0" w:firstRowLastColumn="0" w:lastRowFirstColumn="0" w:lastRowLastColumn="0"/>
              <w:rPr>
                <w:rFonts w:eastAsiaTheme="minorEastAsia"/>
                <w:sz w:val="20"/>
                <w:szCs w:val="20"/>
                <w:lang w:val="en-US" w:eastAsia="en-US"/>
              </w:rPr>
            </w:pPr>
            <w:r>
              <w:rPr>
                <w:sz w:val="20"/>
                <w:szCs w:val="20"/>
              </w:rPr>
              <w:t>2020</w:t>
            </w:r>
          </w:p>
        </w:tc>
        <w:tc>
          <w:tcPr>
            <w:tcW w:w="810" w:type="dxa"/>
            <w:gridSpan w:val="4"/>
            <w:tcBorders>
              <w:top w:val="single" w:sz="8" w:space="0" w:color="000000" w:themeColor="text1"/>
              <w:left w:val="nil"/>
              <w:bottom w:val="nil"/>
              <w:right w:val="nil"/>
            </w:tcBorders>
            <w:vAlign w:val="center"/>
            <w:hideMark/>
          </w:tcPr>
          <w:p w:rsidR="00676DCC" w:rsidRDefault="00676DCC">
            <w:pPr>
              <w:pStyle w:val="Paragraph"/>
              <w:tabs>
                <w:tab w:val="clear" w:pos="720"/>
                <w:tab w:val="left" w:pos="708"/>
              </w:tabs>
              <w:spacing w:before="0" w:after="0"/>
              <w:ind w:left="0" w:firstLine="0"/>
              <w:jc w:val="center"/>
              <w:cnfStyle w:val="100000000000" w:firstRow="1" w:lastRow="0" w:firstColumn="0" w:lastColumn="0" w:oddVBand="0" w:evenVBand="0" w:oddHBand="0" w:evenHBand="0" w:firstRowFirstColumn="0" w:firstRowLastColumn="0" w:lastRowFirstColumn="0" w:lastRowLastColumn="0"/>
              <w:rPr>
                <w:rFonts w:eastAsiaTheme="minorEastAsia"/>
                <w:sz w:val="20"/>
                <w:szCs w:val="20"/>
                <w:lang w:val="en-US" w:eastAsia="en-US"/>
              </w:rPr>
            </w:pPr>
            <w:r>
              <w:rPr>
                <w:sz w:val="20"/>
                <w:szCs w:val="20"/>
              </w:rPr>
              <w:t>2021</w:t>
            </w:r>
          </w:p>
        </w:tc>
        <w:tc>
          <w:tcPr>
            <w:tcW w:w="630" w:type="dxa"/>
            <w:gridSpan w:val="3"/>
            <w:tcBorders>
              <w:top w:val="single" w:sz="8" w:space="0" w:color="000000" w:themeColor="text1"/>
              <w:left w:val="nil"/>
              <w:bottom w:val="nil"/>
              <w:right w:val="nil"/>
            </w:tcBorders>
            <w:vAlign w:val="center"/>
            <w:hideMark/>
          </w:tcPr>
          <w:p w:rsidR="00676DCC" w:rsidRDefault="00676DCC">
            <w:pPr>
              <w:pStyle w:val="Paragraph"/>
              <w:tabs>
                <w:tab w:val="clear" w:pos="720"/>
                <w:tab w:val="left" w:pos="708"/>
              </w:tabs>
              <w:spacing w:before="0" w:after="0"/>
              <w:ind w:left="0" w:firstLine="0"/>
              <w:jc w:val="center"/>
              <w:cnfStyle w:val="100000000000" w:firstRow="1" w:lastRow="0" w:firstColumn="0" w:lastColumn="0" w:oddVBand="0" w:evenVBand="0" w:oddHBand="0" w:evenHBand="0" w:firstRowFirstColumn="0" w:firstRowLastColumn="0" w:lastRowFirstColumn="0" w:lastRowLastColumn="0"/>
              <w:rPr>
                <w:rFonts w:eastAsiaTheme="minorEastAsia"/>
                <w:sz w:val="20"/>
                <w:szCs w:val="20"/>
                <w:lang w:val="en-US" w:eastAsia="en-US"/>
              </w:rPr>
            </w:pPr>
            <w:r>
              <w:rPr>
                <w:sz w:val="20"/>
                <w:szCs w:val="20"/>
              </w:rPr>
              <w:t>2022</w:t>
            </w:r>
          </w:p>
        </w:tc>
        <w:tc>
          <w:tcPr>
            <w:tcW w:w="630" w:type="dxa"/>
            <w:gridSpan w:val="2"/>
            <w:tcBorders>
              <w:top w:val="single" w:sz="8" w:space="0" w:color="000000" w:themeColor="text1"/>
              <w:left w:val="nil"/>
              <w:bottom w:val="nil"/>
              <w:right w:val="nil"/>
            </w:tcBorders>
            <w:vAlign w:val="center"/>
            <w:hideMark/>
          </w:tcPr>
          <w:p w:rsidR="00676DCC" w:rsidRDefault="00676DCC">
            <w:pPr>
              <w:pStyle w:val="Paragraph"/>
              <w:tabs>
                <w:tab w:val="clear" w:pos="720"/>
                <w:tab w:val="left" w:pos="708"/>
              </w:tabs>
              <w:spacing w:before="0" w:after="0"/>
              <w:ind w:left="0" w:firstLine="0"/>
              <w:jc w:val="center"/>
              <w:cnfStyle w:val="100000000000" w:firstRow="1" w:lastRow="0" w:firstColumn="0" w:lastColumn="0" w:oddVBand="0" w:evenVBand="0" w:oddHBand="0" w:evenHBand="0" w:firstRowFirstColumn="0" w:firstRowLastColumn="0" w:lastRowFirstColumn="0" w:lastRowLastColumn="0"/>
              <w:rPr>
                <w:rFonts w:eastAsiaTheme="minorEastAsia"/>
                <w:sz w:val="20"/>
                <w:szCs w:val="20"/>
                <w:lang w:val="en-US" w:eastAsia="en-US"/>
              </w:rPr>
            </w:pPr>
            <w:r>
              <w:rPr>
                <w:sz w:val="20"/>
                <w:szCs w:val="20"/>
              </w:rPr>
              <w:t>2023</w:t>
            </w:r>
          </w:p>
        </w:tc>
        <w:tc>
          <w:tcPr>
            <w:tcW w:w="724" w:type="dxa"/>
            <w:gridSpan w:val="4"/>
            <w:tcBorders>
              <w:top w:val="single" w:sz="8" w:space="0" w:color="000000" w:themeColor="text1"/>
              <w:left w:val="nil"/>
              <w:bottom w:val="single" w:sz="8" w:space="0" w:color="000000" w:themeColor="text1"/>
              <w:right w:val="single" w:sz="8" w:space="0" w:color="000000" w:themeColor="text1"/>
            </w:tcBorders>
          </w:tcPr>
          <w:p w:rsidR="00676DCC" w:rsidRPr="004424E9" w:rsidRDefault="00676DCC">
            <w:pPr>
              <w:pStyle w:val="Paragraph"/>
              <w:tabs>
                <w:tab w:val="clear" w:pos="720"/>
                <w:tab w:val="left" w:pos="708"/>
              </w:tabs>
              <w:spacing w:before="0" w:after="0"/>
              <w:ind w:left="0" w:firstLine="0"/>
              <w:jc w:val="center"/>
              <w:cnfStyle w:val="100000000000" w:firstRow="1" w:lastRow="0" w:firstColumn="0" w:lastColumn="0" w:oddVBand="0" w:evenVBand="0" w:oddHBand="0" w:evenHBand="0" w:firstRowFirstColumn="0" w:firstRowLastColumn="0" w:lastRowFirstColumn="0" w:lastRowLastColumn="0"/>
              <w:rPr>
                <w:sz w:val="20"/>
                <w:szCs w:val="20"/>
                <w:lang w:val="es-ES"/>
              </w:rPr>
            </w:pPr>
            <w:r>
              <w:rPr>
                <w:sz w:val="20"/>
                <w:szCs w:val="20"/>
                <w:lang w:val="es-ES"/>
              </w:rPr>
              <w:t>2024</w:t>
            </w:r>
          </w:p>
        </w:tc>
        <w:tc>
          <w:tcPr>
            <w:tcW w:w="724" w:type="dxa"/>
            <w:tcBorders>
              <w:top w:val="single" w:sz="8" w:space="0" w:color="000000" w:themeColor="text1"/>
              <w:left w:val="nil"/>
              <w:bottom w:val="single" w:sz="8" w:space="0" w:color="000000" w:themeColor="text1"/>
              <w:right w:val="nil"/>
            </w:tcBorders>
          </w:tcPr>
          <w:p w:rsidR="00676DCC" w:rsidRDefault="00676DCC">
            <w:pPr>
              <w:pStyle w:val="Paragraph"/>
              <w:tabs>
                <w:tab w:val="clear" w:pos="720"/>
                <w:tab w:val="left" w:pos="708"/>
              </w:tabs>
              <w:spacing w:before="0" w:after="0"/>
              <w:ind w:left="0" w:firstLine="0"/>
              <w:jc w:val="center"/>
              <w:cnfStyle w:val="100000000000" w:firstRow="1" w:lastRow="0" w:firstColumn="0" w:lastColumn="0" w:oddVBand="0" w:evenVBand="0" w:oddHBand="0" w:evenHBand="0" w:firstRowFirstColumn="0" w:firstRowLastColumn="0" w:lastRowFirstColumn="0" w:lastRowLastColumn="0"/>
              <w:rPr>
                <w:sz w:val="20"/>
                <w:szCs w:val="20"/>
                <w:lang w:val="es-ES"/>
              </w:rPr>
            </w:pPr>
            <w:r>
              <w:rPr>
                <w:sz w:val="20"/>
                <w:szCs w:val="20"/>
                <w:lang w:val="es-ES"/>
              </w:rPr>
              <w:t>…</w:t>
            </w:r>
          </w:p>
        </w:tc>
        <w:tc>
          <w:tcPr>
            <w:tcW w:w="724" w:type="dxa"/>
            <w:tcBorders>
              <w:top w:val="single" w:sz="8" w:space="0" w:color="000000" w:themeColor="text1"/>
              <w:left w:val="nil"/>
              <w:bottom w:val="single" w:sz="8" w:space="0" w:color="000000" w:themeColor="text1"/>
              <w:right w:val="single" w:sz="8" w:space="0" w:color="000000" w:themeColor="text1"/>
            </w:tcBorders>
          </w:tcPr>
          <w:p w:rsidR="00676DCC" w:rsidRDefault="00676DCC">
            <w:pPr>
              <w:pStyle w:val="Paragraph"/>
              <w:tabs>
                <w:tab w:val="clear" w:pos="720"/>
                <w:tab w:val="left" w:pos="708"/>
              </w:tabs>
              <w:spacing w:before="0" w:after="0"/>
              <w:ind w:left="0" w:firstLine="0"/>
              <w:jc w:val="center"/>
              <w:cnfStyle w:val="100000000000" w:firstRow="1" w:lastRow="0" w:firstColumn="0" w:lastColumn="0" w:oddVBand="0" w:evenVBand="0" w:oddHBand="0" w:evenHBand="0" w:firstRowFirstColumn="0" w:firstRowLastColumn="0" w:lastRowFirstColumn="0" w:lastRowLastColumn="0"/>
              <w:rPr>
                <w:sz w:val="20"/>
                <w:szCs w:val="20"/>
                <w:lang w:val="es-ES"/>
              </w:rPr>
            </w:pPr>
            <w:r>
              <w:rPr>
                <w:sz w:val="20"/>
                <w:szCs w:val="20"/>
                <w:lang w:val="es-ES"/>
              </w:rPr>
              <w:t>2044</w:t>
            </w:r>
          </w:p>
        </w:tc>
      </w:tr>
      <w:tr w:rsidR="006A2F52" w:rsidTr="00676DCC">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1708" w:type="dxa"/>
            <w:tcBorders>
              <w:right w:val="nil"/>
            </w:tcBorders>
            <w:vAlign w:val="center"/>
            <w:hideMark/>
          </w:tcPr>
          <w:p w:rsidR="00676DCC" w:rsidRDefault="00676DCC">
            <w:pPr>
              <w:pStyle w:val="Paragraph"/>
              <w:tabs>
                <w:tab w:val="clear" w:pos="720"/>
                <w:tab w:val="left" w:pos="708"/>
              </w:tabs>
              <w:spacing w:before="0" w:after="0"/>
              <w:ind w:left="0" w:firstLine="0"/>
              <w:jc w:val="center"/>
              <w:rPr>
                <w:rFonts w:eastAsiaTheme="minorEastAsia"/>
                <w:sz w:val="20"/>
                <w:szCs w:val="20"/>
                <w:lang w:val="en-US" w:eastAsia="en-US"/>
              </w:rPr>
            </w:pPr>
            <w:r>
              <w:rPr>
                <w:sz w:val="20"/>
                <w:szCs w:val="20"/>
              </w:rPr>
              <w:t>Geothermal 1</w:t>
            </w:r>
          </w:p>
        </w:tc>
        <w:tc>
          <w:tcPr>
            <w:tcW w:w="715" w:type="dxa"/>
            <w:tcBorders>
              <w:left w:val="nil"/>
              <w:right w:val="nil"/>
            </w:tcBorders>
            <w:shd w:val="clear" w:color="auto" w:fill="FFFFFF" w:themeFill="background1"/>
            <w:vAlign w:val="center"/>
          </w:tcPr>
          <w:p w:rsidR="00676DCC" w:rsidRDefault="00676DCC">
            <w:pPr>
              <w:pStyle w:val="Paragraph"/>
              <w:tabs>
                <w:tab w:val="clear" w:pos="720"/>
                <w:tab w:val="left" w:pos="708"/>
              </w:tabs>
              <w:spacing w:before="0" w:after="0"/>
              <w:ind w:left="0" w:firstLine="0"/>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eastAsia="en-US"/>
              </w:rPr>
            </w:pPr>
          </w:p>
        </w:tc>
        <w:tc>
          <w:tcPr>
            <w:tcW w:w="715" w:type="dxa"/>
            <w:tcBorders>
              <w:left w:val="nil"/>
              <w:right w:val="nil"/>
            </w:tcBorders>
            <w:shd w:val="clear" w:color="auto" w:fill="9BBB59" w:themeFill="accent3"/>
            <w:vAlign w:val="center"/>
          </w:tcPr>
          <w:p w:rsidR="00676DCC" w:rsidRDefault="00676DCC">
            <w:pPr>
              <w:pStyle w:val="Paragraph"/>
              <w:tabs>
                <w:tab w:val="clear" w:pos="720"/>
                <w:tab w:val="left" w:pos="708"/>
              </w:tabs>
              <w:spacing w:before="0" w:after="0"/>
              <w:ind w:left="0" w:firstLine="0"/>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eastAsia="en-US"/>
              </w:rPr>
            </w:pPr>
          </w:p>
        </w:tc>
        <w:tc>
          <w:tcPr>
            <w:tcW w:w="716" w:type="dxa"/>
            <w:tcBorders>
              <w:left w:val="nil"/>
              <w:right w:val="nil"/>
            </w:tcBorders>
            <w:shd w:val="clear" w:color="auto" w:fill="DBE5F1" w:themeFill="accent1" w:themeFillTint="33"/>
            <w:vAlign w:val="center"/>
          </w:tcPr>
          <w:p w:rsidR="00676DCC" w:rsidRDefault="00676DCC">
            <w:pPr>
              <w:pStyle w:val="Paragraph"/>
              <w:tabs>
                <w:tab w:val="clear" w:pos="720"/>
                <w:tab w:val="left" w:pos="708"/>
              </w:tabs>
              <w:spacing w:before="0" w:after="0"/>
              <w:ind w:left="0" w:firstLine="0"/>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eastAsia="en-US"/>
              </w:rPr>
            </w:pPr>
            <w:r>
              <w:rPr>
                <w:rFonts w:eastAsiaTheme="minorEastAsia"/>
                <w:sz w:val="20"/>
                <w:szCs w:val="20"/>
                <w:lang w:val="en-US" w:eastAsia="en-US"/>
              </w:rPr>
              <w:t>DC</w:t>
            </w:r>
          </w:p>
        </w:tc>
        <w:tc>
          <w:tcPr>
            <w:tcW w:w="716" w:type="dxa"/>
            <w:tcBorders>
              <w:left w:val="nil"/>
              <w:right w:val="nil"/>
            </w:tcBorders>
            <w:shd w:val="clear" w:color="auto" w:fill="DBE5F1" w:themeFill="accent1" w:themeFillTint="33"/>
            <w:vAlign w:val="center"/>
          </w:tcPr>
          <w:p w:rsidR="00676DCC" w:rsidRDefault="00676DCC">
            <w:pPr>
              <w:pStyle w:val="Paragraph"/>
              <w:tabs>
                <w:tab w:val="clear" w:pos="720"/>
                <w:tab w:val="left" w:pos="708"/>
              </w:tabs>
              <w:spacing w:before="0" w:after="0"/>
              <w:ind w:left="0" w:firstLine="0"/>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eastAsia="en-US"/>
              </w:rPr>
            </w:pPr>
            <w:r>
              <w:rPr>
                <w:rFonts w:eastAsiaTheme="minorEastAsia"/>
                <w:sz w:val="20"/>
                <w:szCs w:val="20"/>
                <w:lang w:val="en-US" w:eastAsia="en-US"/>
              </w:rPr>
              <w:t>DC</w:t>
            </w:r>
          </w:p>
        </w:tc>
        <w:tc>
          <w:tcPr>
            <w:tcW w:w="650" w:type="dxa"/>
            <w:tcBorders>
              <w:left w:val="nil"/>
              <w:right w:val="nil"/>
            </w:tcBorders>
            <w:shd w:val="clear" w:color="auto" w:fill="DBE5F1" w:themeFill="accent1" w:themeFillTint="33"/>
            <w:vAlign w:val="center"/>
          </w:tcPr>
          <w:p w:rsidR="00676DCC" w:rsidRDefault="00676DCC">
            <w:pPr>
              <w:pStyle w:val="Paragraph"/>
              <w:tabs>
                <w:tab w:val="clear" w:pos="720"/>
                <w:tab w:val="left" w:pos="708"/>
              </w:tabs>
              <w:spacing w:before="0" w:after="0"/>
              <w:ind w:left="0" w:firstLine="0"/>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eastAsia="en-US"/>
              </w:rPr>
            </w:pPr>
            <w:r>
              <w:rPr>
                <w:rFonts w:eastAsiaTheme="minorEastAsia"/>
                <w:sz w:val="20"/>
                <w:szCs w:val="20"/>
                <w:lang w:val="en-US" w:eastAsia="en-US"/>
              </w:rPr>
              <w:t>DC</w:t>
            </w:r>
          </w:p>
        </w:tc>
        <w:tc>
          <w:tcPr>
            <w:tcW w:w="720" w:type="dxa"/>
            <w:gridSpan w:val="2"/>
            <w:tcBorders>
              <w:left w:val="nil"/>
              <w:right w:val="nil"/>
            </w:tcBorders>
            <w:shd w:val="clear" w:color="auto" w:fill="DBE5F1" w:themeFill="accent1" w:themeFillTint="33"/>
            <w:vAlign w:val="center"/>
            <w:hideMark/>
          </w:tcPr>
          <w:p w:rsidR="00676DCC" w:rsidRDefault="00676DCC">
            <w:pPr>
              <w:pStyle w:val="Paragraph"/>
              <w:tabs>
                <w:tab w:val="clear" w:pos="720"/>
                <w:tab w:val="left" w:pos="708"/>
              </w:tabs>
              <w:spacing w:before="0" w:after="0"/>
              <w:ind w:left="0" w:firstLine="0"/>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eastAsia="en-US"/>
              </w:rPr>
            </w:pPr>
            <w:r>
              <w:rPr>
                <w:rFonts w:eastAsiaTheme="minorEastAsia"/>
                <w:sz w:val="20"/>
                <w:szCs w:val="20"/>
                <w:lang w:val="en-US" w:eastAsia="en-US"/>
              </w:rPr>
              <w:t>DC</w:t>
            </w:r>
          </w:p>
        </w:tc>
        <w:tc>
          <w:tcPr>
            <w:tcW w:w="697" w:type="dxa"/>
            <w:gridSpan w:val="2"/>
            <w:tcBorders>
              <w:left w:val="nil"/>
            </w:tcBorders>
            <w:shd w:val="clear" w:color="auto" w:fill="FDE9D9" w:themeFill="accent6" w:themeFillTint="33"/>
            <w:vAlign w:val="center"/>
          </w:tcPr>
          <w:p w:rsidR="00676DCC" w:rsidRDefault="00676DCC">
            <w:pPr>
              <w:pStyle w:val="Paragraph"/>
              <w:tabs>
                <w:tab w:val="clear" w:pos="720"/>
                <w:tab w:val="left" w:pos="708"/>
              </w:tabs>
              <w:spacing w:before="0" w:after="0"/>
              <w:ind w:left="0" w:firstLine="0"/>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eastAsia="en-US"/>
              </w:rPr>
            </w:pPr>
            <w:r>
              <w:rPr>
                <w:rFonts w:eastAsiaTheme="minorEastAsia"/>
                <w:sz w:val="20"/>
                <w:szCs w:val="20"/>
                <w:lang w:val="en-US" w:eastAsia="en-US"/>
              </w:rPr>
              <w:t>P</w:t>
            </w:r>
          </w:p>
        </w:tc>
        <w:tc>
          <w:tcPr>
            <w:tcW w:w="698" w:type="dxa"/>
            <w:gridSpan w:val="3"/>
            <w:tcBorders>
              <w:left w:val="nil"/>
            </w:tcBorders>
            <w:shd w:val="clear" w:color="auto" w:fill="FDE9D9" w:themeFill="accent6" w:themeFillTint="33"/>
            <w:vAlign w:val="center"/>
          </w:tcPr>
          <w:p w:rsidR="00676DCC" w:rsidRDefault="00676DCC">
            <w:pPr>
              <w:pStyle w:val="Paragraph"/>
              <w:tabs>
                <w:tab w:val="clear" w:pos="720"/>
                <w:tab w:val="left" w:pos="708"/>
              </w:tabs>
              <w:spacing w:before="0" w:after="0"/>
              <w:ind w:left="0" w:firstLine="0"/>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eastAsia="en-US"/>
              </w:rPr>
            </w:pPr>
            <w:r>
              <w:rPr>
                <w:rFonts w:eastAsiaTheme="minorEastAsia"/>
                <w:sz w:val="20"/>
                <w:szCs w:val="20"/>
                <w:lang w:val="en-US" w:eastAsia="en-US"/>
              </w:rPr>
              <w:t>P</w:t>
            </w:r>
          </w:p>
        </w:tc>
        <w:tc>
          <w:tcPr>
            <w:tcW w:w="701" w:type="dxa"/>
            <w:gridSpan w:val="5"/>
            <w:tcBorders>
              <w:left w:val="nil"/>
            </w:tcBorders>
            <w:shd w:val="clear" w:color="auto" w:fill="FDE9D9" w:themeFill="accent6" w:themeFillTint="33"/>
            <w:vAlign w:val="center"/>
          </w:tcPr>
          <w:p w:rsidR="00676DCC" w:rsidRDefault="00676DCC">
            <w:pPr>
              <w:pStyle w:val="Paragraph"/>
              <w:tabs>
                <w:tab w:val="clear" w:pos="720"/>
                <w:tab w:val="left" w:pos="708"/>
              </w:tabs>
              <w:spacing w:before="0" w:after="0"/>
              <w:ind w:left="0" w:firstLine="0"/>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eastAsia="en-US"/>
              </w:rPr>
            </w:pPr>
            <w:r>
              <w:rPr>
                <w:rFonts w:eastAsiaTheme="minorEastAsia"/>
                <w:sz w:val="20"/>
                <w:szCs w:val="20"/>
                <w:lang w:val="en-US" w:eastAsia="en-US"/>
              </w:rPr>
              <w:t>P</w:t>
            </w:r>
          </w:p>
        </w:tc>
        <w:tc>
          <w:tcPr>
            <w:tcW w:w="698" w:type="dxa"/>
            <w:gridSpan w:val="3"/>
            <w:tcBorders>
              <w:left w:val="nil"/>
            </w:tcBorders>
            <w:shd w:val="clear" w:color="auto" w:fill="FDE9D9" w:themeFill="accent6" w:themeFillTint="33"/>
            <w:vAlign w:val="center"/>
          </w:tcPr>
          <w:p w:rsidR="00676DCC" w:rsidRDefault="00676DCC">
            <w:pPr>
              <w:pStyle w:val="Paragraph"/>
              <w:tabs>
                <w:tab w:val="clear" w:pos="720"/>
                <w:tab w:val="left" w:pos="708"/>
              </w:tabs>
              <w:spacing w:before="0" w:after="0"/>
              <w:ind w:left="0" w:firstLine="0"/>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eastAsia="en-US"/>
              </w:rPr>
            </w:pPr>
            <w:r>
              <w:rPr>
                <w:rFonts w:eastAsiaTheme="minorEastAsia"/>
                <w:sz w:val="20"/>
                <w:szCs w:val="20"/>
                <w:lang w:val="en-US" w:eastAsia="en-US"/>
              </w:rPr>
              <w:t>P</w:t>
            </w:r>
          </w:p>
        </w:tc>
        <w:tc>
          <w:tcPr>
            <w:tcW w:w="724" w:type="dxa"/>
            <w:tcBorders>
              <w:left w:val="nil"/>
              <w:right w:val="nil"/>
            </w:tcBorders>
            <w:shd w:val="clear" w:color="auto" w:fill="FDE9D9" w:themeFill="accent6" w:themeFillTint="33"/>
          </w:tcPr>
          <w:p w:rsidR="00676DCC" w:rsidRDefault="00676DCC">
            <w:pPr>
              <w:pStyle w:val="Paragraph"/>
              <w:tabs>
                <w:tab w:val="clear" w:pos="720"/>
                <w:tab w:val="left" w:pos="708"/>
              </w:tabs>
              <w:spacing w:before="0" w:after="0"/>
              <w:ind w:left="0" w:firstLine="0"/>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eastAsia="en-US"/>
              </w:rPr>
            </w:pPr>
            <w:r>
              <w:rPr>
                <w:rFonts w:eastAsiaTheme="minorEastAsia"/>
                <w:sz w:val="20"/>
                <w:szCs w:val="20"/>
                <w:lang w:val="en-US" w:eastAsia="en-US"/>
              </w:rPr>
              <w:t>…</w:t>
            </w:r>
          </w:p>
        </w:tc>
        <w:tc>
          <w:tcPr>
            <w:tcW w:w="724" w:type="dxa"/>
            <w:tcBorders>
              <w:left w:val="nil"/>
            </w:tcBorders>
            <w:shd w:val="clear" w:color="auto" w:fill="FDE9D9" w:themeFill="accent6" w:themeFillTint="33"/>
          </w:tcPr>
          <w:p w:rsidR="00676DCC" w:rsidRDefault="00676DCC">
            <w:pPr>
              <w:pStyle w:val="Paragraph"/>
              <w:tabs>
                <w:tab w:val="clear" w:pos="720"/>
                <w:tab w:val="left" w:pos="708"/>
              </w:tabs>
              <w:spacing w:before="0" w:after="0"/>
              <w:ind w:left="0" w:firstLine="0"/>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eastAsia="en-US"/>
              </w:rPr>
            </w:pPr>
          </w:p>
        </w:tc>
      </w:tr>
      <w:tr w:rsidR="00A73D28" w:rsidTr="00676DCC">
        <w:trPr>
          <w:trHeight w:val="60"/>
          <w:jc w:val="center"/>
        </w:trPr>
        <w:tc>
          <w:tcPr>
            <w:cnfStyle w:val="001000000000" w:firstRow="0" w:lastRow="0" w:firstColumn="1" w:lastColumn="0" w:oddVBand="0" w:evenVBand="0" w:oddHBand="0" w:evenHBand="0" w:firstRowFirstColumn="0" w:firstRowLastColumn="0" w:lastRowFirstColumn="0" w:lastRowLastColumn="0"/>
            <w:tcW w:w="1708" w:type="dxa"/>
            <w:tcBorders>
              <w:top w:val="nil"/>
              <w:left w:val="single" w:sz="8" w:space="0" w:color="000000" w:themeColor="text1"/>
              <w:bottom w:val="nil"/>
              <w:right w:val="nil"/>
            </w:tcBorders>
            <w:vAlign w:val="center"/>
            <w:hideMark/>
          </w:tcPr>
          <w:p w:rsidR="00676DCC" w:rsidRDefault="00676DCC">
            <w:pPr>
              <w:pStyle w:val="Paragraph"/>
              <w:tabs>
                <w:tab w:val="clear" w:pos="720"/>
                <w:tab w:val="left" w:pos="708"/>
              </w:tabs>
              <w:spacing w:before="0" w:after="0"/>
              <w:ind w:left="0" w:firstLine="0"/>
              <w:jc w:val="center"/>
              <w:rPr>
                <w:rFonts w:eastAsiaTheme="minorEastAsia"/>
                <w:sz w:val="20"/>
                <w:szCs w:val="20"/>
                <w:lang w:val="en-US" w:eastAsia="en-US"/>
              </w:rPr>
            </w:pPr>
            <w:r>
              <w:rPr>
                <w:sz w:val="20"/>
                <w:szCs w:val="20"/>
              </w:rPr>
              <w:t>Geothermal 2</w:t>
            </w:r>
          </w:p>
        </w:tc>
        <w:tc>
          <w:tcPr>
            <w:tcW w:w="715" w:type="dxa"/>
            <w:tcBorders>
              <w:top w:val="nil"/>
              <w:left w:val="nil"/>
              <w:bottom w:val="nil"/>
              <w:right w:val="nil"/>
            </w:tcBorders>
            <w:shd w:val="clear" w:color="auto" w:fill="FFFFFF" w:themeFill="background1"/>
            <w:vAlign w:val="center"/>
          </w:tcPr>
          <w:p w:rsidR="00676DCC" w:rsidRDefault="00676DCC">
            <w:pPr>
              <w:pStyle w:val="Paragraph"/>
              <w:tabs>
                <w:tab w:val="clear" w:pos="720"/>
                <w:tab w:val="left" w:pos="708"/>
              </w:tabs>
              <w:spacing w:before="0" w:after="0"/>
              <w:ind w:left="0" w:firstLine="0"/>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en-US" w:eastAsia="en-US"/>
              </w:rPr>
            </w:pPr>
          </w:p>
        </w:tc>
        <w:tc>
          <w:tcPr>
            <w:tcW w:w="715" w:type="dxa"/>
            <w:tcBorders>
              <w:top w:val="nil"/>
              <w:left w:val="nil"/>
              <w:bottom w:val="nil"/>
              <w:right w:val="nil"/>
            </w:tcBorders>
            <w:shd w:val="clear" w:color="auto" w:fill="FFFFFF" w:themeFill="background1"/>
            <w:vAlign w:val="center"/>
          </w:tcPr>
          <w:p w:rsidR="00676DCC" w:rsidRDefault="00676DCC">
            <w:pPr>
              <w:pStyle w:val="Paragraph"/>
              <w:tabs>
                <w:tab w:val="clear" w:pos="720"/>
                <w:tab w:val="left" w:pos="708"/>
              </w:tabs>
              <w:spacing w:before="0" w:after="0"/>
              <w:ind w:left="0" w:firstLine="0"/>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en-US" w:eastAsia="en-US"/>
              </w:rPr>
            </w:pPr>
          </w:p>
        </w:tc>
        <w:tc>
          <w:tcPr>
            <w:tcW w:w="716" w:type="dxa"/>
            <w:tcBorders>
              <w:top w:val="nil"/>
              <w:left w:val="nil"/>
              <w:bottom w:val="nil"/>
              <w:right w:val="nil"/>
            </w:tcBorders>
            <w:shd w:val="clear" w:color="auto" w:fill="FFFFFF" w:themeFill="background1"/>
            <w:vAlign w:val="center"/>
          </w:tcPr>
          <w:p w:rsidR="00676DCC" w:rsidRDefault="00676DCC">
            <w:pPr>
              <w:pStyle w:val="Paragraph"/>
              <w:tabs>
                <w:tab w:val="clear" w:pos="720"/>
                <w:tab w:val="left" w:pos="708"/>
              </w:tabs>
              <w:spacing w:before="0" w:after="0"/>
              <w:ind w:left="0" w:firstLine="0"/>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en-US" w:eastAsia="en-US"/>
              </w:rPr>
            </w:pPr>
          </w:p>
        </w:tc>
        <w:tc>
          <w:tcPr>
            <w:tcW w:w="716" w:type="dxa"/>
            <w:tcBorders>
              <w:top w:val="nil"/>
              <w:left w:val="nil"/>
              <w:bottom w:val="nil"/>
              <w:right w:val="nil"/>
            </w:tcBorders>
            <w:shd w:val="clear" w:color="auto" w:fill="9BBB59" w:themeFill="accent3"/>
            <w:vAlign w:val="center"/>
          </w:tcPr>
          <w:p w:rsidR="00676DCC" w:rsidRDefault="00676DCC">
            <w:pPr>
              <w:pStyle w:val="Paragraph"/>
              <w:tabs>
                <w:tab w:val="clear" w:pos="720"/>
                <w:tab w:val="left" w:pos="708"/>
              </w:tabs>
              <w:spacing w:before="0" w:after="0"/>
              <w:ind w:left="0" w:firstLine="0"/>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en-US" w:eastAsia="en-US"/>
              </w:rPr>
            </w:pPr>
          </w:p>
        </w:tc>
        <w:tc>
          <w:tcPr>
            <w:tcW w:w="650" w:type="dxa"/>
            <w:tcBorders>
              <w:top w:val="nil"/>
              <w:left w:val="nil"/>
              <w:bottom w:val="nil"/>
              <w:right w:val="nil"/>
            </w:tcBorders>
            <w:shd w:val="clear" w:color="auto" w:fill="DBE5F1" w:themeFill="accent1" w:themeFillTint="33"/>
            <w:vAlign w:val="center"/>
          </w:tcPr>
          <w:p w:rsidR="00676DCC" w:rsidRDefault="00676DCC">
            <w:pPr>
              <w:pStyle w:val="Paragraph"/>
              <w:tabs>
                <w:tab w:val="clear" w:pos="720"/>
                <w:tab w:val="left" w:pos="708"/>
              </w:tabs>
              <w:spacing w:before="0" w:after="0"/>
              <w:ind w:left="0" w:firstLine="0"/>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en-US" w:eastAsia="en-US"/>
              </w:rPr>
            </w:pPr>
            <w:r>
              <w:rPr>
                <w:rFonts w:eastAsiaTheme="minorEastAsia"/>
                <w:sz w:val="20"/>
                <w:szCs w:val="20"/>
                <w:lang w:val="en-US" w:eastAsia="en-US"/>
              </w:rPr>
              <w:t>DC</w:t>
            </w:r>
          </w:p>
        </w:tc>
        <w:tc>
          <w:tcPr>
            <w:tcW w:w="720" w:type="dxa"/>
            <w:gridSpan w:val="2"/>
            <w:tcBorders>
              <w:top w:val="nil"/>
              <w:left w:val="nil"/>
              <w:bottom w:val="nil"/>
              <w:right w:val="nil"/>
            </w:tcBorders>
            <w:shd w:val="clear" w:color="auto" w:fill="DBE5F1" w:themeFill="accent1" w:themeFillTint="33"/>
            <w:vAlign w:val="center"/>
            <w:hideMark/>
          </w:tcPr>
          <w:p w:rsidR="00676DCC" w:rsidRDefault="00676DCC">
            <w:pPr>
              <w:pStyle w:val="Paragraph"/>
              <w:tabs>
                <w:tab w:val="clear" w:pos="720"/>
                <w:tab w:val="left" w:pos="708"/>
              </w:tabs>
              <w:spacing w:before="0" w:after="0"/>
              <w:ind w:left="0" w:firstLine="0"/>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en-US" w:eastAsia="en-US"/>
              </w:rPr>
            </w:pPr>
            <w:r>
              <w:rPr>
                <w:rFonts w:eastAsiaTheme="minorEastAsia"/>
                <w:sz w:val="20"/>
                <w:szCs w:val="20"/>
                <w:lang w:val="en-US" w:eastAsia="en-US"/>
              </w:rPr>
              <w:t>DC</w:t>
            </w:r>
          </w:p>
        </w:tc>
        <w:tc>
          <w:tcPr>
            <w:tcW w:w="810" w:type="dxa"/>
            <w:gridSpan w:val="4"/>
            <w:tcBorders>
              <w:top w:val="nil"/>
              <w:left w:val="nil"/>
              <w:bottom w:val="nil"/>
              <w:right w:val="nil"/>
            </w:tcBorders>
            <w:shd w:val="clear" w:color="auto" w:fill="FDE9D9" w:themeFill="accent6" w:themeFillTint="33"/>
            <w:vAlign w:val="center"/>
            <w:hideMark/>
          </w:tcPr>
          <w:p w:rsidR="00676DCC" w:rsidRDefault="00676DCC">
            <w:pPr>
              <w:pStyle w:val="Paragraph"/>
              <w:tabs>
                <w:tab w:val="clear" w:pos="720"/>
                <w:tab w:val="left" w:pos="708"/>
              </w:tabs>
              <w:spacing w:before="0" w:after="0"/>
              <w:ind w:left="0" w:firstLine="0"/>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en-US" w:eastAsia="en-US"/>
              </w:rPr>
            </w:pPr>
            <w:r>
              <w:rPr>
                <w:rFonts w:eastAsiaTheme="minorEastAsia"/>
                <w:sz w:val="20"/>
                <w:szCs w:val="20"/>
                <w:lang w:val="en-US" w:eastAsia="en-US"/>
              </w:rPr>
              <w:t>P</w:t>
            </w:r>
          </w:p>
        </w:tc>
        <w:tc>
          <w:tcPr>
            <w:tcW w:w="661" w:type="dxa"/>
            <w:gridSpan w:val="4"/>
            <w:tcBorders>
              <w:top w:val="nil"/>
              <w:left w:val="nil"/>
              <w:bottom w:val="single" w:sz="8" w:space="0" w:color="000000" w:themeColor="text1"/>
              <w:right w:val="nil"/>
            </w:tcBorders>
            <w:shd w:val="clear" w:color="auto" w:fill="FDE9D9" w:themeFill="accent6" w:themeFillTint="33"/>
            <w:vAlign w:val="center"/>
          </w:tcPr>
          <w:p w:rsidR="00676DCC" w:rsidRDefault="00676DCC">
            <w:pPr>
              <w:pStyle w:val="Paragraph"/>
              <w:tabs>
                <w:tab w:val="clear" w:pos="720"/>
                <w:tab w:val="left" w:pos="708"/>
              </w:tabs>
              <w:spacing w:before="0" w:after="0"/>
              <w:ind w:left="0" w:firstLine="0"/>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en-US" w:eastAsia="en-US"/>
              </w:rPr>
            </w:pPr>
            <w:r>
              <w:rPr>
                <w:rFonts w:eastAsiaTheme="minorEastAsia"/>
                <w:sz w:val="20"/>
                <w:szCs w:val="20"/>
                <w:lang w:val="en-US" w:eastAsia="en-US"/>
              </w:rPr>
              <w:t>P</w:t>
            </w:r>
          </w:p>
        </w:tc>
        <w:tc>
          <w:tcPr>
            <w:tcW w:w="661" w:type="dxa"/>
            <w:gridSpan w:val="4"/>
            <w:tcBorders>
              <w:top w:val="nil"/>
              <w:left w:val="nil"/>
              <w:bottom w:val="single" w:sz="8" w:space="0" w:color="000000" w:themeColor="text1"/>
              <w:right w:val="nil"/>
            </w:tcBorders>
            <w:shd w:val="clear" w:color="auto" w:fill="FDE9D9" w:themeFill="accent6" w:themeFillTint="33"/>
            <w:vAlign w:val="center"/>
          </w:tcPr>
          <w:p w:rsidR="00676DCC" w:rsidRDefault="00676DCC">
            <w:pPr>
              <w:pStyle w:val="Paragraph"/>
              <w:tabs>
                <w:tab w:val="clear" w:pos="720"/>
                <w:tab w:val="left" w:pos="708"/>
              </w:tabs>
              <w:spacing w:before="0" w:after="0"/>
              <w:ind w:left="0" w:firstLine="0"/>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en-US" w:eastAsia="en-US"/>
              </w:rPr>
            </w:pPr>
            <w:r>
              <w:rPr>
                <w:rFonts w:eastAsiaTheme="minorEastAsia"/>
                <w:sz w:val="20"/>
                <w:szCs w:val="20"/>
                <w:lang w:val="en-US" w:eastAsia="en-US"/>
              </w:rPr>
              <w:t>P</w:t>
            </w:r>
          </w:p>
        </w:tc>
        <w:tc>
          <w:tcPr>
            <w:tcW w:w="662" w:type="dxa"/>
            <w:tcBorders>
              <w:top w:val="nil"/>
              <w:left w:val="nil"/>
              <w:bottom w:val="single" w:sz="8" w:space="0" w:color="000000" w:themeColor="text1"/>
              <w:right w:val="nil"/>
            </w:tcBorders>
            <w:shd w:val="clear" w:color="auto" w:fill="FDE9D9" w:themeFill="accent6" w:themeFillTint="33"/>
            <w:vAlign w:val="center"/>
          </w:tcPr>
          <w:p w:rsidR="00676DCC" w:rsidRDefault="00676DCC">
            <w:pPr>
              <w:pStyle w:val="Paragraph"/>
              <w:tabs>
                <w:tab w:val="clear" w:pos="720"/>
                <w:tab w:val="left" w:pos="708"/>
              </w:tabs>
              <w:spacing w:before="0" w:after="0"/>
              <w:ind w:left="0" w:firstLine="0"/>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en-US" w:eastAsia="en-US"/>
              </w:rPr>
            </w:pPr>
            <w:r>
              <w:rPr>
                <w:rFonts w:eastAsiaTheme="minorEastAsia"/>
                <w:sz w:val="20"/>
                <w:szCs w:val="20"/>
                <w:lang w:val="en-US" w:eastAsia="en-US"/>
              </w:rPr>
              <w:t>P</w:t>
            </w:r>
          </w:p>
        </w:tc>
        <w:tc>
          <w:tcPr>
            <w:tcW w:w="724" w:type="dxa"/>
            <w:tcBorders>
              <w:top w:val="nil"/>
              <w:left w:val="nil"/>
              <w:bottom w:val="nil"/>
              <w:right w:val="nil"/>
            </w:tcBorders>
            <w:shd w:val="clear" w:color="auto" w:fill="FDE9D9" w:themeFill="accent6" w:themeFillTint="33"/>
          </w:tcPr>
          <w:p w:rsidR="00676DCC" w:rsidRDefault="00676DCC">
            <w:pPr>
              <w:pStyle w:val="Paragraph"/>
              <w:tabs>
                <w:tab w:val="clear" w:pos="720"/>
                <w:tab w:val="left" w:pos="708"/>
              </w:tabs>
              <w:spacing w:before="0" w:after="0"/>
              <w:ind w:left="0" w:firstLine="0"/>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en-US" w:eastAsia="en-US"/>
              </w:rPr>
            </w:pPr>
            <w:r>
              <w:rPr>
                <w:rFonts w:eastAsiaTheme="minorEastAsia"/>
                <w:sz w:val="20"/>
                <w:szCs w:val="20"/>
                <w:lang w:val="en-US" w:eastAsia="en-US"/>
              </w:rPr>
              <w:t>…</w:t>
            </w:r>
          </w:p>
        </w:tc>
        <w:tc>
          <w:tcPr>
            <w:tcW w:w="724" w:type="dxa"/>
            <w:tcBorders>
              <w:top w:val="nil"/>
              <w:left w:val="nil"/>
              <w:bottom w:val="nil"/>
              <w:right w:val="single" w:sz="8" w:space="0" w:color="000000" w:themeColor="text1"/>
            </w:tcBorders>
            <w:shd w:val="clear" w:color="auto" w:fill="FDE9D9" w:themeFill="accent6" w:themeFillTint="33"/>
          </w:tcPr>
          <w:p w:rsidR="00676DCC" w:rsidRDefault="00676DCC">
            <w:pPr>
              <w:pStyle w:val="Paragraph"/>
              <w:tabs>
                <w:tab w:val="clear" w:pos="720"/>
                <w:tab w:val="left" w:pos="708"/>
              </w:tabs>
              <w:spacing w:before="0" w:after="0"/>
              <w:ind w:left="0" w:firstLine="0"/>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en-US" w:eastAsia="en-US"/>
              </w:rPr>
            </w:pPr>
          </w:p>
        </w:tc>
      </w:tr>
      <w:tr w:rsidR="006A2F52" w:rsidTr="00676DCC">
        <w:trPr>
          <w:cnfStyle w:val="000000100000" w:firstRow="0" w:lastRow="0" w:firstColumn="0" w:lastColumn="0" w:oddVBand="0" w:evenVBand="0" w:oddHBand="1" w:evenHBand="0" w:firstRowFirstColumn="0" w:firstRowLastColumn="0" w:lastRowFirstColumn="0" w:lastRowLastColumn="0"/>
          <w:trHeight w:val="115"/>
          <w:jc w:val="center"/>
        </w:trPr>
        <w:tc>
          <w:tcPr>
            <w:cnfStyle w:val="001000000000" w:firstRow="0" w:lastRow="0" w:firstColumn="1" w:lastColumn="0" w:oddVBand="0" w:evenVBand="0" w:oddHBand="0" w:evenHBand="0" w:firstRowFirstColumn="0" w:firstRowLastColumn="0" w:lastRowFirstColumn="0" w:lastRowLastColumn="0"/>
            <w:tcW w:w="1708" w:type="dxa"/>
            <w:tcBorders>
              <w:right w:val="nil"/>
            </w:tcBorders>
            <w:vAlign w:val="center"/>
            <w:hideMark/>
          </w:tcPr>
          <w:p w:rsidR="00676DCC" w:rsidRDefault="00676DCC">
            <w:pPr>
              <w:pStyle w:val="Paragraph"/>
              <w:tabs>
                <w:tab w:val="clear" w:pos="720"/>
                <w:tab w:val="left" w:pos="708"/>
              </w:tabs>
              <w:spacing w:before="0" w:after="0"/>
              <w:ind w:left="0" w:firstLine="0"/>
              <w:jc w:val="center"/>
              <w:rPr>
                <w:rFonts w:eastAsiaTheme="minorEastAsia"/>
                <w:sz w:val="20"/>
                <w:szCs w:val="20"/>
                <w:lang w:val="en-US" w:eastAsia="en-US"/>
              </w:rPr>
            </w:pPr>
            <w:r>
              <w:rPr>
                <w:sz w:val="20"/>
                <w:szCs w:val="20"/>
              </w:rPr>
              <w:t>Geothermal 3</w:t>
            </w:r>
          </w:p>
        </w:tc>
        <w:tc>
          <w:tcPr>
            <w:tcW w:w="715" w:type="dxa"/>
            <w:tcBorders>
              <w:left w:val="nil"/>
              <w:right w:val="nil"/>
            </w:tcBorders>
            <w:shd w:val="clear" w:color="auto" w:fill="FFFFFF" w:themeFill="background1"/>
            <w:vAlign w:val="center"/>
          </w:tcPr>
          <w:p w:rsidR="00676DCC" w:rsidRDefault="00676DCC">
            <w:pPr>
              <w:pStyle w:val="Paragraph"/>
              <w:tabs>
                <w:tab w:val="clear" w:pos="720"/>
                <w:tab w:val="left" w:pos="708"/>
              </w:tabs>
              <w:spacing w:before="0" w:after="0"/>
              <w:ind w:left="0" w:firstLine="0"/>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eastAsia="en-US"/>
              </w:rPr>
            </w:pPr>
          </w:p>
        </w:tc>
        <w:tc>
          <w:tcPr>
            <w:tcW w:w="715" w:type="dxa"/>
            <w:tcBorders>
              <w:left w:val="nil"/>
              <w:right w:val="nil"/>
            </w:tcBorders>
            <w:shd w:val="clear" w:color="auto" w:fill="FFFFFF" w:themeFill="background1"/>
            <w:vAlign w:val="center"/>
          </w:tcPr>
          <w:p w:rsidR="00676DCC" w:rsidRDefault="00676DCC">
            <w:pPr>
              <w:pStyle w:val="Paragraph"/>
              <w:tabs>
                <w:tab w:val="clear" w:pos="720"/>
                <w:tab w:val="left" w:pos="708"/>
              </w:tabs>
              <w:spacing w:before="0" w:after="0"/>
              <w:ind w:left="0" w:firstLine="0"/>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eastAsia="en-US"/>
              </w:rPr>
            </w:pPr>
          </w:p>
        </w:tc>
        <w:tc>
          <w:tcPr>
            <w:tcW w:w="716" w:type="dxa"/>
            <w:tcBorders>
              <w:left w:val="nil"/>
              <w:right w:val="nil"/>
            </w:tcBorders>
            <w:shd w:val="clear" w:color="auto" w:fill="FFFFFF" w:themeFill="background1"/>
            <w:vAlign w:val="center"/>
          </w:tcPr>
          <w:p w:rsidR="00676DCC" w:rsidRDefault="00676DCC">
            <w:pPr>
              <w:pStyle w:val="Paragraph"/>
              <w:tabs>
                <w:tab w:val="clear" w:pos="720"/>
                <w:tab w:val="left" w:pos="708"/>
              </w:tabs>
              <w:spacing w:before="0" w:after="0"/>
              <w:ind w:left="0" w:firstLine="0"/>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eastAsia="en-US"/>
              </w:rPr>
            </w:pPr>
          </w:p>
        </w:tc>
        <w:tc>
          <w:tcPr>
            <w:tcW w:w="716" w:type="dxa"/>
            <w:tcBorders>
              <w:left w:val="nil"/>
              <w:right w:val="nil"/>
            </w:tcBorders>
            <w:shd w:val="clear" w:color="auto" w:fill="FFFFFF" w:themeFill="background1"/>
            <w:vAlign w:val="center"/>
          </w:tcPr>
          <w:p w:rsidR="00676DCC" w:rsidRDefault="00676DCC">
            <w:pPr>
              <w:pStyle w:val="Paragraph"/>
              <w:tabs>
                <w:tab w:val="clear" w:pos="720"/>
                <w:tab w:val="left" w:pos="708"/>
              </w:tabs>
              <w:spacing w:before="0" w:after="0"/>
              <w:ind w:left="0" w:firstLine="0"/>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eastAsia="en-US"/>
              </w:rPr>
            </w:pPr>
          </w:p>
        </w:tc>
        <w:tc>
          <w:tcPr>
            <w:tcW w:w="650" w:type="dxa"/>
            <w:tcBorders>
              <w:left w:val="nil"/>
              <w:right w:val="nil"/>
            </w:tcBorders>
            <w:shd w:val="clear" w:color="auto" w:fill="FFFFFF" w:themeFill="background1"/>
            <w:vAlign w:val="center"/>
          </w:tcPr>
          <w:p w:rsidR="00676DCC" w:rsidRDefault="00676DCC">
            <w:pPr>
              <w:pStyle w:val="Paragraph"/>
              <w:tabs>
                <w:tab w:val="clear" w:pos="720"/>
                <w:tab w:val="left" w:pos="708"/>
              </w:tabs>
              <w:spacing w:before="0" w:after="0"/>
              <w:ind w:left="0" w:firstLine="0"/>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eastAsia="en-US"/>
              </w:rPr>
            </w:pPr>
          </w:p>
        </w:tc>
        <w:tc>
          <w:tcPr>
            <w:tcW w:w="720" w:type="dxa"/>
            <w:gridSpan w:val="2"/>
            <w:tcBorders>
              <w:left w:val="nil"/>
              <w:right w:val="nil"/>
            </w:tcBorders>
            <w:shd w:val="clear" w:color="auto" w:fill="9BBB59" w:themeFill="accent3"/>
            <w:vAlign w:val="center"/>
            <w:hideMark/>
          </w:tcPr>
          <w:p w:rsidR="00676DCC" w:rsidRDefault="00676DCC">
            <w:pPr>
              <w:pStyle w:val="Paragraph"/>
              <w:tabs>
                <w:tab w:val="clear" w:pos="720"/>
                <w:tab w:val="left" w:pos="708"/>
              </w:tabs>
              <w:spacing w:before="0" w:after="0"/>
              <w:ind w:left="0" w:firstLine="0"/>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eastAsia="en-US"/>
              </w:rPr>
            </w:pPr>
          </w:p>
        </w:tc>
        <w:tc>
          <w:tcPr>
            <w:tcW w:w="810" w:type="dxa"/>
            <w:gridSpan w:val="4"/>
            <w:tcBorders>
              <w:left w:val="nil"/>
              <w:right w:val="nil"/>
            </w:tcBorders>
            <w:shd w:val="clear" w:color="auto" w:fill="FDE9D9" w:themeFill="accent6" w:themeFillTint="33"/>
            <w:vAlign w:val="center"/>
            <w:hideMark/>
          </w:tcPr>
          <w:p w:rsidR="00676DCC" w:rsidRDefault="00676DCC">
            <w:pPr>
              <w:pStyle w:val="Paragraph"/>
              <w:tabs>
                <w:tab w:val="clear" w:pos="720"/>
                <w:tab w:val="left" w:pos="708"/>
              </w:tabs>
              <w:spacing w:before="0" w:after="0"/>
              <w:ind w:left="0" w:firstLine="0"/>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eastAsia="en-US"/>
              </w:rPr>
            </w:pPr>
            <w:r>
              <w:rPr>
                <w:rFonts w:eastAsiaTheme="minorEastAsia"/>
                <w:sz w:val="20"/>
                <w:szCs w:val="20"/>
                <w:lang w:val="en-US" w:eastAsia="en-US"/>
              </w:rPr>
              <w:t>P</w:t>
            </w:r>
          </w:p>
        </w:tc>
        <w:tc>
          <w:tcPr>
            <w:tcW w:w="661" w:type="dxa"/>
            <w:gridSpan w:val="4"/>
            <w:tcBorders>
              <w:left w:val="nil"/>
            </w:tcBorders>
            <w:shd w:val="clear" w:color="auto" w:fill="FDE9D9" w:themeFill="accent6" w:themeFillTint="33"/>
            <w:vAlign w:val="center"/>
          </w:tcPr>
          <w:p w:rsidR="00676DCC" w:rsidRDefault="00676DCC">
            <w:pPr>
              <w:pStyle w:val="Paragraph"/>
              <w:tabs>
                <w:tab w:val="clear" w:pos="720"/>
                <w:tab w:val="left" w:pos="708"/>
              </w:tabs>
              <w:spacing w:before="0" w:after="0"/>
              <w:ind w:left="0" w:firstLine="0"/>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eastAsia="en-US"/>
              </w:rPr>
            </w:pPr>
            <w:r>
              <w:rPr>
                <w:rFonts w:eastAsiaTheme="minorEastAsia"/>
                <w:sz w:val="20"/>
                <w:szCs w:val="20"/>
                <w:lang w:val="en-US" w:eastAsia="en-US"/>
              </w:rPr>
              <w:t>P</w:t>
            </w:r>
          </w:p>
        </w:tc>
        <w:tc>
          <w:tcPr>
            <w:tcW w:w="661" w:type="dxa"/>
            <w:gridSpan w:val="4"/>
            <w:tcBorders>
              <w:left w:val="nil"/>
            </w:tcBorders>
            <w:shd w:val="clear" w:color="auto" w:fill="FDE9D9" w:themeFill="accent6" w:themeFillTint="33"/>
            <w:vAlign w:val="center"/>
          </w:tcPr>
          <w:p w:rsidR="00676DCC" w:rsidRDefault="00676DCC">
            <w:pPr>
              <w:pStyle w:val="Paragraph"/>
              <w:tabs>
                <w:tab w:val="clear" w:pos="720"/>
                <w:tab w:val="left" w:pos="708"/>
              </w:tabs>
              <w:spacing w:before="0" w:after="0"/>
              <w:ind w:left="0" w:firstLine="0"/>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eastAsia="en-US"/>
              </w:rPr>
            </w:pPr>
            <w:r>
              <w:rPr>
                <w:rFonts w:eastAsiaTheme="minorEastAsia"/>
                <w:sz w:val="20"/>
                <w:szCs w:val="20"/>
                <w:lang w:val="en-US" w:eastAsia="en-US"/>
              </w:rPr>
              <w:t>P</w:t>
            </w:r>
          </w:p>
        </w:tc>
        <w:tc>
          <w:tcPr>
            <w:tcW w:w="662" w:type="dxa"/>
            <w:tcBorders>
              <w:left w:val="nil"/>
            </w:tcBorders>
            <w:shd w:val="clear" w:color="auto" w:fill="FDE9D9" w:themeFill="accent6" w:themeFillTint="33"/>
            <w:vAlign w:val="center"/>
          </w:tcPr>
          <w:p w:rsidR="00676DCC" w:rsidRDefault="00676DCC">
            <w:pPr>
              <w:pStyle w:val="Paragraph"/>
              <w:tabs>
                <w:tab w:val="clear" w:pos="720"/>
                <w:tab w:val="left" w:pos="708"/>
              </w:tabs>
              <w:spacing w:before="0" w:after="0"/>
              <w:ind w:left="0" w:firstLine="0"/>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eastAsia="en-US"/>
              </w:rPr>
            </w:pPr>
            <w:r>
              <w:rPr>
                <w:rFonts w:eastAsiaTheme="minorEastAsia"/>
                <w:sz w:val="20"/>
                <w:szCs w:val="20"/>
                <w:lang w:val="en-US" w:eastAsia="en-US"/>
              </w:rPr>
              <w:t>P</w:t>
            </w:r>
          </w:p>
        </w:tc>
        <w:tc>
          <w:tcPr>
            <w:tcW w:w="724" w:type="dxa"/>
            <w:tcBorders>
              <w:left w:val="nil"/>
              <w:right w:val="nil"/>
            </w:tcBorders>
            <w:shd w:val="clear" w:color="auto" w:fill="FDE9D9" w:themeFill="accent6" w:themeFillTint="33"/>
          </w:tcPr>
          <w:p w:rsidR="00676DCC" w:rsidRDefault="00676DCC">
            <w:pPr>
              <w:pStyle w:val="Paragraph"/>
              <w:tabs>
                <w:tab w:val="clear" w:pos="720"/>
                <w:tab w:val="left" w:pos="708"/>
              </w:tabs>
              <w:spacing w:before="0" w:after="0"/>
              <w:ind w:left="0" w:firstLine="0"/>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eastAsia="en-US"/>
              </w:rPr>
            </w:pPr>
            <w:r>
              <w:rPr>
                <w:rFonts w:eastAsiaTheme="minorEastAsia"/>
                <w:sz w:val="20"/>
                <w:szCs w:val="20"/>
                <w:lang w:val="en-US" w:eastAsia="en-US"/>
              </w:rPr>
              <w:t>…</w:t>
            </w:r>
          </w:p>
        </w:tc>
        <w:tc>
          <w:tcPr>
            <w:tcW w:w="724" w:type="dxa"/>
            <w:tcBorders>
              <w:left w:val="nil"/>
            </w:tcBorders>
            <w:shd w:val="clear" w:color="auto" w:fill="FDE9D9" w:themeFill="accent6" w:themeFillTint="33"/>
          </w:tcPr>
          <w:p w:rsidR="00676DCC" w:rsidRDefault="00676DCC">
            <w:pPr>
              <w:pStyle w:val="Paragraph"/>
              <w:tabs>
                <w:tab w:val="clear" w:pos="720"/>
                <w:tab w:val="left" w:pos="708"/>
              </w:tabs>
              <w:spacing w:before="0" w:after="0"/>
              <w:ind w:left="0" w:firstLine="0"/>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eastAsia="en-US"/>
              </w:rPr>
            </w:pPr>
          </w:p>
        </w:tc>
      </w:tr>
      <w:tr w:rsidR="006A2F52" w:rsidTr="00676DCC">
        <w:trPr>
          <w:trHeight w:val="88"/>
          <w:jc w:val="center"/>
        </w:trPr>
        <w:tc>
          <w:tcPr>
            <w:cnfStyle w:val="001000000000" w:firstRow="0" w:lastRow="0" w:firstColumn="1" w:lastColumn="0" w:oddVBand="0" w:evenVBand="0" w:oddHBand="0" w:evenHBand="0" w:firstRowFirstColumn="0" w:firstRowLastColumn="0" w:lastRowFirstColumn="0" w:lastRowLastColumn="0"/>
            <w:tcW w:w="1708" w:type="dxa"/>
            <w:tcBorders>
              <w:top w:val="nil"/>
              <w:left w:val="single" w:sz="8" w:space="0" w:color="000000" w:themeColor="text1"/>
              <w:bottom w:val="nil"/>
              <w:right w:val="nil"/>
            </w:tcBorders>
            <w:vAlign w:val="center"/>
            <w:hideMark/>
          </w:tcPr>
          <w:p w:rsidR="00676DCC" w:rsidRDefault="00676DCC">
            <w:pPr>
              <w:pStyle w:val="Paragraph"/>
              <w:tabs>
                <w:tab w:val="clear" w:pos="720"/>
                <w:tab w:val="left" w:pos="708"/>
              </w:tabs>
              <w:spacing w:before="0" w:after="0"/>
              <w:ind w:left="0" w:firstLine="0"/>
              <w:jc w:val="center"/>
              <w:rPr>
                <w:rFonts w:eastAsiaTheme="minorEastAsia"/>
                <w:sz w:val="20"/>
                <w:szCs w:val="20"/>
                <w:lang w:val="en-US" w:eastAsia="en-US"/>
              </w:rPr>
            </w:pPr>
            <w:r>
              <w:rPr>
                <w:sz w:val="20"/>
                <w:szCs w:val="20"/>
              </w:rPr>
              <w:t>Geothermal 4</w:t>
            </w:r>
          </w:p>
        </w:tc>
        <w:tc>
          <w:tcPr>
            <w:tcW w:w="715" w:type="dxa"/>
            <w:tcBorders>
              <w:top w:val="nil"/>
              <w:left w:val="nil"/>
              <w:bottom w:val="nil"/>
              <w:right w:val="nil"/>
            </w:tcBorders>
            <w:shd w:val="clear" w:color="auto" w:fill="FFFFFF" w:themeFill="background1"/>
            <w:vAlign w:val="center"/>
          </w:tcPr>
          <w:p w:rsidR="00676DCC" w:rsidRDefault="00676DCC">
            <w:pPr>
              <w:pStyle w:val="Paragraph"/>
              <w:tabs>
                <w:tab w:val="clear" w:pos="720"/>
                <w:tab w:val="left" w:pos="708"/>
              </w:tabs>
              <w:spacing w:before="0" w:after="0"/>
              <w:ind w:left="0" w:firstLine="0"/>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en-US" w:eastAsia="en-US"/>
              </w:rPr>
            </w:pPr>
          </w:p>
        </w:tc>
        <w:tc>
          <w:tcPr>
            <w:tcW w:w="715" w:type="dxa"/>
            <w:tcBorders>
              <w:top w:val="nil"/>
              <w:left w:val="nil"/>
              <w:bottom w:val="nil"/>
              <w:right w:val="nil"/>
            </w:tcBorders>
            <w:shd w:val="clear" w:color="auto" w:fill="FFFFFF" w:themeFill="background1"/>
            <w:vAlign w:val="center"/>
          </w:tcPr>
          <w:p w:rsidR="00676DCC" w:rsidRDefault="00676DCC">
            <w:pPr>
              <w:pStyle w:val="Paragraph"/>
              <w:tabs>
                <w:tab w:val="clear" w:pos="720"/>
                <w:tab w:val="left" w:pos="708"/>
              </w:tabs>
              <w:spacing w:before="0" w:after="0"/>
              <w:ind w:left="0" w:firstLine="0"/>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en-US" w:eastAsia="en-US"/>
              </w:rPr>
            </w:pPr>
          </w:p>
        </w:tc>
        <w:tc>
          <w:tcPr>
            <w:tcW w:w="716" w:type="dxa"/>
            <w:tcBorders>
              <w:top w:val="nil"/>
              <w:left w:val="nil"/>
              <w:bottom w:val="nil"/>
              <w:right w:val="nil"/>
            </w:tcBorders>
            <w:shd w:val="clear" w:color="auto" w:fill="FFFFFF" w:themeFill="background1"/>
            <w:vAlign w:val="center"/>
          </w:tcPr>
          <w:p w:rsidR="00676DCC" w:rsidRDefault="00676DCC">
            <w:pPr>
              <w:pStyle w:val="Paragraph"/>
              <w:tabs>
                <w:tab w:val="clear" w:pos="720"/>
                <w:tab w:val="left" w:pos="708"/>
              </w:tabs>
              <w:spacing w:before="0" w:after="0"/>
              <w:ind w:left="0" w:firstLine="0"/>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en-US" w:eastAsia="en-US"/>
              </w:rPr>
            </w:pPr>
          </w:p>
        </w:tc>
        <w:tc>
          <w:tcPr>
            <w:tcW w:w="716" w:type="dxa"/>
            <w:tcBorders>
              <w:top w:val="nil"/>
              <w:left w:val="nil"/>
              <w:bottom w:val="nil"/>
              <w:right w:val="nil"/>
            </w:tcBorders>
            <w:shd w:val="clear" w:color="auto" w:fill="FFFFFF" w:themeFill="background1"/>
            <w:vAlign w:val="center"/>
          </w:tcPr>
          <w:p w:rsidR="00676DCC" w:rsidRDefault="00676DCC">
            <w:pPr>
              <w:pStyle w:val="Paragraph"/>
              <w:tabs>
                <w:tab w:val="clear" w:pos="720"/>
                <w:tab w:val="left" w:pos="708"/>
              </w:tabs>
              <w:spacing w:before="0" w:after="0"/>
              <w:ind w:left="0" w:firstLine="0"/>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en-US" w:eastAsia="en-US"/>
              </w:rPr>
            </w:pPr>
          </w:p>
        </w:tc>
        <w:tc>
          <w:tcPr>
            <w:tcW w:w="650" w:type="dxa"/>
            <w:tcBorders>
              <w:top w:val="nil"/>
              <w:left w:val="nil"/>
              <w:bottom w:val="nil"/>
              <w:right w:val="nil"/>
            </w:tcBorders>
            <w:shd w:val="clear" w:color="auto" w:fill="FFFFFF" w:themeFill="background1"/>
            <w:vAlign w:val="center"/>
          </w:tcPr>
          <w:p w:rsidR="00676DCC" w:rsidRDefault="00676DCC">
            <w:pPr>
              <w:pStyle w:val="Paragraph"/>
              <w:tabs>
                <w:tab w:val="clear" w:pos="720"/>
                <w:tab w:val="left" w:pos="708"/>
              </w:tabs>
              <w:spacing w:before="0" w:after="0"/>
              <w:ind w:left="0" w:firstLine="0"/>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en-US" w:eastAsia="en-US"/>
              </w:rPr>
            </w:pPr>
          </w:p>
        </w:tc>
        <w:tc>
          <w:tcPr>
            <w:tcW w:w="720" w:type="dxa"/>
            <w:gridSpan w:val="2"/>
            <w:tcBorders>
              <w:top w:val="nil"/>
              <w:left w:val="nil"/>
              <w:bottom w:val="nil"/>
              <w:right w:val="nil"/>
            </w:tcBorders>
            <w:shd w:val="clear" w:color="auto" w:fill="FFFFFF" w:themeFill="background1"/>
            <w:vAlign w:val="center"/>
            <w:hideMark/>
          </w:tcPr>
          <w:p w:rsidR="00676DCC" w:rsidRDefault="00676DCC">
            <w:pPr>
              <w:pStyle w:val="Paragraph"/>
              <w:tabs>
                <w:tab w:val="clear" w:pos="720"/>
                <w:tab w:val="left" w:pos="708"/>
              </w:tabs>
              <w:spacing w:before="0" w:after="0"/>
              <w:ind w:left="0" w:firstLine="0"/>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en-US" w:eastAsia="en-US"/>
              </w:rPr>
            </w:pPr>
          </w:p>
        </w:tc>
        <w:tc>
          <w:tcPr>
            <w:tcW w:w="810" w:type="dxa"/>
            <w:gridSpan w:val="4"/>
            <w:tcBorders>
              <w:top w:val="nil"/>
              <w:left w:val="nil"/>
              <w:bottom w:val="nil"/>
              <w:right w:val="nil"/>
            </w:tcBorders>
            <w:shd w:val="clear" w:color="auto" w:fill="9BBB59" w:themeFill="accent3"/>
            <w:vAlign w:val="center"/>
            <w:hideMark/>
          </w:tcPr>
          <w:p w:rsidR="00676DCC" w:rsidRDefault="00676DCC">
            <w:pPr>
              <w:pStyle w:val="Paragraph"/>
              <w:tabs>
                <w:tab w:val="clear" w:pos="720"/>
                <w:tab w:val="left" w:pos="708"/>
              </w:tabs>
              <w:spacing w:before="0" w:after="0"/>
              <w:ind w:left="0" w:firstLine="0"/>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en-US" w:eastAsia="en-US"/>
              </w:rPr>
            </w:pPr>
          </w:p>
        </w:tc>
        <w:tc>
          <w:tcPr>
            <w:tcW w:w="630" w:type="dxa"/>
            <w:gridSpan w:val="3"/>
            <w:tcBorders>
              <w:top w:val="nil"/>
              <w:left w:val="nil"/>
              <w:bottom w:val="nil"/>
              <w:right w:val="nil"/>
            </w:tcBorders>
            <w:shd w:val="clear" w:color="auto" w:fill="FDE9D9" w:themeFill="accent6" w:themeFillTint="33"/>
            <w:vAlign w:val="center"/>
            <w:hideMark/>
          </w:tcPr>
          <w:p w:rsidR="00676DCC" w:rsidRDefault="00676DCC">
            <w:pPr>
              <w:pStyle w:val="Paragraph"/>
              <w:tabs>
                <w:tab w:val="clear" w:pos="720"/>
                <w:tab w:val="left" w:pos="708"/>
              </w:tabs>
              <w:spacing w:before="0" w:after="0"/>
              <w:ind w:left="0" w:firstLine="0"/>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en-US" w:eastAsia="en-US"/>
              </w:rPr>
            </w:pPr>
            <w:r>
              <w:rPr>
                <w:rFonts w:eastAsiaTheme="minorEastAsia"/>
                <w:sz w:val="20"/>
                <w:szCs w:val="20"/>
                <w:lang w:val="en-US" w:eastAsia="en-US"/>
              </w:rPr>
              <w:t>P</w:t>
            </w:r>
          </w:p>
        </w:tc>
        <w:tc>
          <w:tcPr>
            <w:tcW w:w="677" w:type="dxa"/>
            <w:gridSpan w:val="4"/>
            <w:tcBorders>
              <w:top w:val="nil"/>
              <w:left w:val="nil"/>
              <w:bottom w:val="nil"/>
              <w:right w:val="nil"/>
            </w:tcBorders>
            <w:shd w:val="clear" w:color="auto" w:fill="FDE9D9" w:themeFill="accent6" w:themeFillTint="33"/>
            <w:vAlign w:val="center"/>
          </w:tcPr>
          <w:p w:rsidR="00676DCC" w:rsidRDefault="00676DCC">
            <w:pPr>
              <w:pStyle w:val="Paragraph"/>
              <w:tabs>
                <w:tab w:val="clear" w:pos="720"/>
                <w:tab w:val="left" w:pos="708"/>
              </w:tabs>
              <w:spacing w:before="0" w:after="0"/>
              <w:ind w:left="0" w:firstLine="0"/>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en-US" w:eastAsia="en-US"/>
              </w:rPr>
            </w:pPr>
            <w:r>
              <w:rPr>
                <w:rFonts w:eastAsiaTheme="minorEastAsia"/>
                <w:sz w:val="20"/>
                <w:szCs w:val="20"/>
                <w:lang w:val="en-US" w:eastAsia="en-US"/>
              </w:rPr>
              <w:t>P</w:t>
            </w:r>
          </w:p>
        </w:tc>
        <w:tc>
          <w:tcPr>
            <w:tcW w:w="677" w:type="dxa"/>
            <w:gridSpan w:val="2"/>
            <w:tcBorders>
              <w:top w:val="nil"/>
              <w:left w:val="nil"/>
              <w:bottom w:val="nil"/>
              <w:right w:val="nil"/>
            </w:tcBorders>
            <w:shd w:val="clear" w:color="auto" w:fill="FDE9D9" w:themeFill="accent6" w:themeFillTint="33"/>
            <w:vAlign w:val="center"/>
          </w:tcPr>
          <w:p w:rsidR="00676DCC" w:rsidRDefault="00676DCC">
            <w:pPr>
              <w:pStyle w:val="Paragraph"/>
              <w:tabs>
                <w:tab w:val="clear" w:pos="720"/>
                <w:tab w:val="left" w:pos="708"/>
              </w:tabs>
              <w:spacing w:before="0" w:after="0"/>
              <w:ind w:left="0" w:firstLine="0"/>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en-US" w:eastAsia="en-US"/>
              </w:rPr>
            </w:pPr>
            <w:r>
              <w:rPr>
                <w:rFonts w:eastAsiaTheme="minorEastAsia"/>
                <w:sz w:val="20"/>
                <w:szCs w:val="20"/>
                <w:lang w:val="en-US" w:eastAsia="en-US"/>
              </w:rPr>
              <w:t>P</w:t>
            </w:r>
          </w:p>
        </w:tc>
        <w:tc>
          <w:tcPr>
            <w:tcW w:w="724" w:type="dxa"/>
            <w:tcBorders>
              <w:top w:val="nil"/>
              <w:left w:val="nil"/>
              <w:bottom w:val="nil"/>
              <w:right w:val="nil"/>
            </w:tcBorders>
            <w:shd w:val="clear" w:color="auto" w:fill="FDE9D9" w:themeFill="accent6" w:themeFillTint="33"/>
          </w:tcPr>
          <w:p w:rsidR="00676DCC" w:rsidRDefault="00676DCC">
            <w:pPr>
              <w:pStyle w:val="Paragraph"/>
              <w:tabs>
                <w:tab w:val="clear" w:pos="720"/>
                <w:tab w:val="left" w:pos="708"/>
              </w:tabs>
              <w:spacing w:before="0" w:after="0"/>
              <w:ind w:left="0" w:firstLine="0"/>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en-US" w:eastAsia="en-US"/>
              </w:rPr>
            </w:pPr>
            <w:r>
              <w:rPr>
                <w:rFonts w:eastAsiaTheme="minorEastAsia"/>
                <w:sz w:val="20"/>
                <w:szCs w:val="20"/>
                <w:lang w:val="en-US" w:eastAsia="en-US"/>
              </w:rPr>
              <w:t>…</w:t>
            </w:r>
          </w:p>
        </w:tc>
        <w:tc>
          <w:tcPr>
            <w:tcW w:w="724" w:type="dxa"/>
            <w:tcBorders>
              <w:top w:val="nil"/>
              <w:left w:val="nil"/>
              <w:bottom w:val="nil"/>
              <w:right w:val="single" w:sz="8" w:space="0" w:color="000000" w:themeColor="text1"/>
            </w:tcBorders>
            <w:shd w:val="clear" w:color="auto" w:fill="FDE9D9" w:themeFill="accent6" w:themeFillTint="33"/>
          </w:tcPr>
          <w:p w:rsidR="00676DCC" w:rsidRDefault="00676DCC">
            <w:pPr>
              <w:pStyle w:val="Paragraph"/>
              <w:tabs>
                <w:tab w:val="clear" w:pos="720"/>
                <w:tab w:val="left" w:pos="708"/>
              </w:tabs>
              <w:spacing w:before="0" w:after="0"/>
              <w:ind w:left="0" w:firstLine="0"/>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en-US" w:eastAsia="en-US"/>
              </w:rPr>
            </w:pPr>
          </w:p>
        </w:tc>
      </w:tr>
      <w:tr w:rsidR="006A2F52" w:rsidTr="00676DCC">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1708" w:type="dxa"/>
            <w:tcBorders>
              <w:right w:val="nil"/>
            </w:tcBorders>
            <w:vAlign w:val="center"/>
            <w:hideMark/>
          </w:tcPr>
          <w:p w:rsidR="00676DCC" w:rsidRDefault="00676DCC">
            <w:pPr>
              <w:pStyle w:val="Paragraph"/>
              <w:tabs>
                <w:tab w:val="clear" w:pos="720"/>
                <w:tab w:val="left" w:pos="708"/>
              </w:tabs>
              <w:spacing w:before="0" w:after="0"/>
              <w:ind w:left="0" w:firstLine="0"/>
              <w:jc w:val="center"/>
              <w:rPr>
                <w:rFonts w:eastAsiaTheme="minorEastAsia"/>
                <w:sz w:val="20"/>
                <w:szCs w:val="20"/>
                <w:lang w:val="en-US" w:eastAsia="en-US"/>
              </w:rPr>
            </w:pPr>
            <w:r>
              <w:rPr>
                <w:sz w:val="20"/>
                <w:szCs w:val="20"/>
              </w:rPr>
              <w:t>Geothermal 5</w:t>
            </w:r>
          </w:p>
        </w:tc>
        <w:tc>
          <w:tcPr>
            <w:tcW w:w="715" w:type="dxa"/>
            <w:tcBorders>
              <w:left w:val="nil"/>
              <w:right w:val="nil"/>
            </w:tcBorders>
            <w:shd w:val="clear" w:color="auto" w:fill="FFFFFF" w:themeFill="background1"/>
            <w:vAlign w:val="center"/>
          </w:tcPr>
          <w:p w:rsidR="00676DCC" w:rsidRDefault="00676DCC">
            <w:pPr>
              <w:pStyle w:val="Paragraph"/>
              <w:tabs>
                <w:tab w:val="clear" w:pos="720"/>
                <w:tab w:val="left" w:pos="708"/>
              </w:tabs>
              <w:spacing w:before="0" w:after="0"/>
              <w:ind w:left="0" w:firstLine="0"/>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eastAsia="en-US"/>
              </w:rPr>
            </w:pPr>
          </w:p>
        </w:tc>
        <w:tc>
          <w:tcPr>
            <w:tcW w:w="715" w:type="dxa"/>
            <w:tcBorders>
              <w:left w:val="nil"/>
              <w:right w:val="nil"/>
            </w:tcBorders>
            <w:shd w:val="clear" w:color="auto" w:fill="FFFFFF" w:themeFill="background1"/>
            <w:vAlign w:val="center"/>
          </w:tcPr>
          <w:p w:rsidR="00676DCC" w:rsidRDefault="00676DCC">
            <w:pPr>
              <w:pStyle w:val="Paragraph"/>
              <w:tabs>
                <w:tab w:val="clear" w:pos="720"/>
                <w:tab w:val="left" w:pos="708"/>
              </w:tabs>
              <w:spacing w:before="0" w:after="0"/>
              <w:ind w:left="0" w:firstLine="0"/>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eastAsia="en-US"/>
              </w:rPr>
            </w:pPr>
          </w:p>
        </w:tc>
        <w:tc>
          <w:tcPr>
            <w:tcW w:w="716" w:type="dxa"/>
            <w:tcBorders>
              <w:left w:val="nil"/>
              <w:right w:val="nil"/>
            </w:tcBorders>
            <w:shd w:val="clear" w:color="auto" w:fill="FFFFFF" w:themeFill="background1"/>
            <w:vAlign w:val="center"/>
          </w:tcPr>
          <w:p w:rsidR="00676DCC" w:rsidRDefault="00676DCC">
            <w:pPr>
              <w:pStyle w:val="Paragraph"/>
              <w:tabs>
                <w:tab w:val="clear" w:pos="720"/>
                <w:tab w:val="left" w:pos="708"/>
              </w:tabs>
              <w:spacing w:before="0" w:after="0"/>
              <w:ind w:left="0" w:firstLine="0"/>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eastAsia="en-US"/>
              </w:rPr>
            </w:pPr>
          </w:p>
        </w:tc>
        <w:tc>
          <w:tcPr>
            <w:tcW w:w="716" w:type="dxa"/>
            <w:tcBorders>
              <w:left w:val="nil"/>
              <w:right w:val="nil"/>
            </w:tcBorders>
            <w:shd w:val="clear" w:color="auto" w:fill="FFFFFF" w:themeFill="background1"/>
            <w:vAlign w:val="center"/>
          </w:tcPr>
          <w:p w:rsidR="00676DCC" w:rsidRDefault="00676DCC">
            <w:pPr>
              <w:pStyle w:val="Paragraph"/>
              <w:tabs>
                <w:tab w:val="clear" w:pos="720"/>
                <w:tab w:val="left" w:pos="708"/>
              </w:tabs>
              <w:spacing w:before="0" w:after="0"/>
              <w:ind w:left="0" w:firstLine="0"/>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eastAsia="en-US"/>
              </w:rPr>
            </w:pPr>
          </w:p>
        </w:tc>
        <w:tc>
          <w:tcPr>
            <w:tcW w:w="650" w:type="dxa"/>
            <w:tcBorders>
              <w:left w:val="nil"/>
              <w:right w:val="nil"/>
            </w:tcBorders>
            <w:shd w:val="clear" w:color="auto" w:fill="FFFFFF" w:themeFill="background1"/>
            <w:vAlign w:val="center"/>
          </w:tcPr>
          <w:p w:rsidR="00676DCC" w:rsidRDefault="00676DCC">
            <w:pPr>
              <w:pStyle w:val="Paragraph"/>
              <w:tabs>
                <w:tab w:val="clear" w:pos="720"/>
                <w:tab w:val="left" w:pos="708"/>
              </w:tabs>
              <w:spacing w:before="0" w:after="0"/>
              <w:ind w:left="0" w:firstLine="0"/>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eastAsia="en-US"/>
              </w:rPr>
            </w:pPr>
          </w:p>
        </w:tc>
        <w:tc>
          <w:tcPr>
            <w:tcW w:w="720" w:type="dxa"/>
            <w:gridSpan w:val="2"/>
            <w:tcBorders>
              <w:left w:val="nil"/>
              <w:right w:val="nil"/>
            </w:tcBorders>
            <w:shd w:val="clear" w:color="auto" w:fill="FFFFFF" w:themeFill="background1"/>
            <w:vAlign w:val="center"/>
            <w:hideMark/>
          </w:tcPr>
          <w:p w:rsidR="00676DCC" w:rsidRDefault="00676DCC">
            <w:pPr>
              <w:pStyle w:val="Paragraph"/>
              <w:tabs>
                <w:tab w:val="clear" w:pos="720"/>
                <w:tab w:val="left" w:pos="708"/>
              </w:tabs>
              <w:spacing w:before="0" w:after="0"/>
              <w:ind w:left="0" w:firstLine="0"/>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eastAsia="en-US"/>
              </w:rPr>
            </w:pPr>
          </w:p>
        </w:tc>
        <w:tc>
          <w:tcPr>
            <w:tcW w:w="810" w:type="dxa"/>
            <w:gridSpan w:val="4"/>
            <w:tcBorders>
              <w:left w:val="nil"/>
              <w:right w:val="nil"/>
            </w:tcBorders>
            <w:shd w:val="clear" w:color="auto" w:fill="FFFFFF" w:themeFill="background1"/>
            <w:vAlign w:val="center"/>
            <w:hideMark/>
          </w:tcPr>
          <w:p w:rsidR="00676DCC" w:rsidRDefault="00676DCC">
            <w:pPr>
              <w:pStyle w:val="Paragraph"/>
              <w:tabs>
                <w:tab w:val="clear" w:pos="720"/>
                <w:tab w:val="left" w:pos="708"/>
              </w:tabs>
              <w:spacing w:before="0" w:after="0"/>
              <w:ind w:left="0" w:firstLine="0"/>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eastAsia="en-US"/>
              </w:rPr>
            </w:pPr>
          </w:p>
        </w:tc>
        <w:tc>
          <w:tcPr>
            <w:tcW w:w="630" w:type="dxa"/>
            <w:gridSpan w:val="3"/>
            <w:tcBorders>
              <w:left w:val="nil"/>
              <w:right w:val="nil"/>
            </w:tcBorders>
            <w:shd w:val="clear" w:color="auto" w:fill="FFFFFF" w:themeFill="background1"/>
            <w:vAlign w:val="center"/>
            <w:hideMark/>
          </w:tcPr>
          <w:p w:rsidR="00676DCC" w:rsidRDefault="00676DCC">
            <w:pPr>
              <w:pStyle w:val="Paragraph"/>
              <w:tabs>
                <w:tab w:val="clear" w:pos="720"/>
                <w:tab w:val="left" w:pos="708"/>
              </w:tabs>
              <w:spacing w:before="0" w:after="0"/>
              <w:ind w:left="0" w:firstLine="0"/>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eastAsia="en-US"/>
              </w:rPr>
            </w:pPr>
          </w:p>
        </w:tc>
        <w:tc>
          <w:tcPr>
            <w:tcW w:w="630" w:type="dxa"/>
            <w:gridSpan w:val="2"/>
            <w:tcBorders>
              <w:left w:val="nil"/>
            </w:tcBorders>
            <w:shd w:val="clear" w:color="auto" w:fill="9BBB59" w:themeFill="accent3"/>
            <w:vAlign w:val="center"/>
            <w:hideMark/>
          </w:tcPr>
          <w:p w:rsidR="00676DCC" w:rsidRDefault="00676DCC">
            <w:pPr>
              <w:pStyle w:val="Paragraph"/>
              <w:tabs>
                <w:tab w:val="clear" w:pos="720"/>
                <w:tab w:val="left" w:pos="708"/>
              </w:tabs>
              <w:spacing w:before="0" w:after="0"/>
              <w:ind w:left="0" w:firstLine="0"/>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eastAsia="en-US"/>
              </w:rPr>
            </w:pPr>
          </w:p>
        </w:tc>
        <w:tc>
          <w:tcPr>
            <w:tcW w:w="724" w:type="dxa"/>
            <w:gridSpan w:val="4"/>
            <w:tcBorders>
              <w:left w:val="nil"/>
            </w:tcBorders>
            <w:shd w:val="clear" w:color="auto" w:fill="FDE9D9" w:themeFill="accent6" w:themeFillTint="33"/>
          </w:tcPr>
          <w:p w:rsidR="00676DCC" w:rsidRPr="004424E9" w:rsidRDefault="00676DCC">
            <w:pPr>
              <w:pStyle w:val="Paragraph"/>
              <w:tabs>
                <w:tab w:val="clear" w:pos="720"/>
                <w:tab w:val="left" w:pos="708"/>
              </w:tabs>
              <w:spacing w:before="0" w:after="0"/>
              <w:ind w:left="0" w:firstLine="0"/>
              <w:jc w:val="center"/>
              <w:cnfStyle w:val="000000100000" w:firstRow="0" w:lastRow="0" w:firstColumn="0" w:lastColumn="0" w:oddVBand="0" w:evenVBand="0" w:oddHBand="1" w:evenHBand="0" w:firstRowFirstColumn="0" w:firstRowLastColumn="0" w:lastRowFirstColumn="0" w:lastRowLastColumn="0"/>
              <w:rPr>
                <w:sz w:val="20"/>
                <w:szCs w:val="20"/>
                <w:lang w:val="es-ES"/>
              </w:rPr>
            </w:pPr>
            <w:r>
              <w:rPr>
                <w:rFonts w:eastAsiaTheme="minorEastAsia"/>
                <w:sz w:val="20"/>
                <w:szCs w:val="20"/>
                <w:lang w:val="en-US" w:eastAsia="en-US"/>
              </w:rPr>
              <w:t>P</w:t>
            </w:r>
          </w:p>
        </w:tc>
        <w:tc>
          <w:tcPr>
            <w:tcW w:w="724" w:type="dxa"/>
            <w:tcBorders>
              <w:left w:val="nil"/>
              <w:right w:val="nil"/>
            </w:tcBorders>
            <w:shd w:val="clear" w:color="auto" w:fill="FDE9D9" w:themeFill="accent6" w:themeFillTint="33"/>
          </w:tcPr>
          <w:p w:rsidR="00676DCC" w:rsidRDefault="00676DCC">
            <w:pPr>
              <w:pStyle w:val="Paragraph"/>
              <w:tabs>
                <w:tab w:val="clear" w:pos="720"/>
                <w:tab w:val="left" w:pos="708"/>
              </w:tabs>
              <w:spacing w:before="0" w:after="0"/>
              <w:ind w:left="0" w:firstLine="0"/>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eastAsia="en-US"/>
              </w:rPr>
            </w:pPr>
            <w:r>
              <w:rPr>
                <w:rFonts w:eastAsiaTheme="minorEastAsia"/>
                <w:sz w:val="20"/>
                <w:szCs w:val="20"/>
                <w:lang w:val="en-US" w:eastAsia="en-US"/>
              </w:rPr>
              <w:t>…</w:t>
            </w:r>
          </w:p>
        </w:tc>
        <w:tc>
          <w:tcPr>
            <w:tcW w:w="724" w:type="dxa"/>
            <w:tcBorders>
              <w:left w:val="nil"/>
            </w:tcBorders>
            <w:shd w:val="clear" w:color="auto" w:fill="FDE9D9" w:themeFill="accent6" w:themeFillTint="33"/>
          </w:tcPr>
          <w:p w:rsidR="00676DCC" w:rsidRDefault="00676DCC">
            <w:pPr>
              <w:pStyle w:val="Paragraph"/>
              <w:tabs>
                <w:tab w:val="clear" w:pos="720"/>
                <w:tab w:val="left" w:pos="708"/>
              </w:tabs>
              <w:spacing w:before="0" w:after="0"/>
              <w:ind w:left="0" w:firstLine="0"/>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eastAsia="en-US"/>
              </w:rPr>
            </w:pPr>
          </w:p>
        </w:tc>
      </w:tr>
      <w:tr w:rsidR="006A2F52" w:rsidTr="00BB5B06">
        <w:trPr>
          <w:trHeight w:val="60"/>
          <w:jc w:val="center"/>
        </w:trPr>
        <w:tc>
          <w:tcPr>
            <w:cnfStyle w:val="001000000000" w:firstRow="0" w:lastRow="0" w:firstColumn="1" w:lastColumn="0" w:oddVBand="0" w:evenVBand="0" w:oddHBand="0" w:evenHBand="0" w:firstRowFirstColumn="0" w:firstRowLastColumn="0" w:lastRowFirstColumn="0" w:lastRowLastColumn="0"/>
            <w:tcW w:w="1708" w:type="dxa"/>
            <w:tcBorders>
              <w:top w:val="single" w:sz="8" w:space="0" w:color="000000" w:themeColor="text1"/>
              <w:left w:val="single" w:sz="8" w:space="0" w:color="000000" w:themeColor="text1"/>
              <w:bottom w:val="single" w:sz="8" w:space="0" w:color="000000" w:themeColor="text1"/>
              <w:right w:val="nil"/>
            </w:tcBorders>
            <w:vAlign w:val="center"/>
            <w:hideMark/>
          </w:tcPr>
          <w:p w:rsidR="00676DCC" w:rsidRDefault="00676DCC">
            <w:pPr>
              <w:pStyle w:val="Paragraph"/>
              <w:tabs>
                <w:tab w:val="clear" w:pos="720"/>
                <w:tab w:val="left" w:pos="708"/>
              </w:tabs>
              <w:spacing w:before="0" w:after="0"/>
              <w:ind w:left="0" w:firstLine="0"/>
              <w:jc w:val="center"/>
              <w:rPr>
                <w:rFonts w:eastAsiaTheme="minorEastAsia"/>
                <w:sz w:val="20"/>
                <w:szCs w:val="20"/>
                <w:lang w:val="en-US" w:eastAsia="en-US"/>
              </w:rPr>
            </w:pPr>
            <w:r>
              <w:rPr>
                <w:sz w:val="20"/>
                <w:szCs w:val="20"/>
              </w:rPr>
              <w:t>Geothermal 6</w:t>
            </w:r>
          </w:p>
        </w:tc>
        <w:tc>
          <w:tcPr>
            <w:tcW w:w="715" w:type="dxa"/>
            <w:tcBorders>
              <w:top w:val="single" w:sz="8" w:space="0" w:color="000000" w:themeColor="text1"/>
              <w:left w:val="nil"/>
              <w:bottom w:val="single" w:sz="8" w:space="0" w:color="000000" w:themeColor="text1"/>
              <w:right w:val="nil"/>
            </w:tcBorders>
            <w:shd w:val="clear" w:color="auto" w:fill="FFFFFF" w:themeFill="background1"/>
            <w:vAlign w:val="center"/>
          </w:tcPr>
          <w:p w:rsidR="00676DCC" w:rsidRDefault="00676DCC">
            <w:pPr>
              <w:pStyle w:val="Paragraph"/>
              <w:tabs>
                <w:tab w:val="clear" w:pos="720"/>
                <w:tab w:val="left" w:pos="708"/>
              </w:tabs>
              <w:spacing w:before="0" w:after="0"/>
              <w:ind w:left="0" w:firstLine="0"/>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en-US" w:eastAsia="en-US"/>
              </w:rPr>
            </w:pPr>
          </w:p>
        </w:tc>
        <w:tc>
          <w:tcPr>
            <w:tcW w:w="715" w:type="dxa"/>
            <w:tcBorders>
              <w:top w:val="single" w:sz="8" w:space="0" w:color="000000" w:themeColor="text1"/>
              <w:left w:val="nil"/>
              <w:bottom w:val="single" w:sz="8" w:space="0" w:color="000000" w:themeColor="text1"/>
              <w:right w:val="nil"/>
            </w:tcBorders>
            <w:shd w:val="clear" w:color="auto" w:fill="FFFFFF" w:themeFill="background1"/>
            <w:vAlign w:val="center"/>
          </w:tcPr>
          <w:p w:rsidR="00676DCC" w:rsidRDefault="00676DCC">
            <w:pPr>
              <w:pStyle w:val="Paragraph"/>
              <w:tabs>
                <w:tab w:val="clear" w:pos="720"/>
                <w:tab w:val="left" w:pos="708"/>
              </w:tabs>
              <w:spacing w:before="0" w:after="0"/>
              <w:ind w:left="0" w:firstLine="0"/>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en-US" w:eastAsia="en-US"/>
              </w:rPr>
            </w:pPr>
          </w:p>
        </w:tc>
        <w:tc>
          <w:tcPr>
            <w:tcW w:w="716" w:type="dxa"/>
            <w:tcBorders>
              <w:top w:val="single" w:sz="8" w:space="0" w:color="000000" w:themeColor="text1"/>
              <w:left w:val="nil"/>
              <w:bottom w:val="single" w:sz="8" w:space="0" w:color="000000" w:themeColor="text1"/>
              <w:right w:val="nil"/>
            </w:tcBorders>
            <w:shd w:val="clear" w:color="auto" w:fill="FFFFFF" w:themeFill="background1"/>
            <w:vAlign w:val="center"/>
          </w:tcPr>
          <w:p w:rsidR="00676DCC" w:rsidRDefault="00676DCC">
            <w:pPr>
              <w:pStyle w:val="Paragraph"/>
              <w:tabs>
                <w:tab w:val="clear" w:pos="720"/>
                <w:tab w:val="left" w:pos="708"/>
              </w:tabs>
              <w:spacing w:before="0" w:after="0"/>
              <w:ind w:left="0" w:firstLine="0"/>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en-US" w:eastAsia="en-US"/>
              </w:rPr>
            </w:pPr>
          </w:p>
        </w:tc>
        <w:tc>
          <w:tcPr>
            <w:tcW w:w="716" w:type="dxa"/>
            <w:tcBorders>
              <w:top w:val="single" w:sz="8" w:space="0" w:color="000000" w:themeColor="text1"/>
              <w:left w:val="nil"/>
              <w:bottom w:val="single" w:sz="8" w:space="0" w:color="000000" w:themeColor="text1"/>
              <w:right w:val="nil"/>
            </w:tcBorders>
            <w:shd w:val="clear" w:color="auto" w:fill="FFFFFF" w:themeFill="background1"/>
            <w:vAlign w:val="center"/>
          </w:tcPr>
          <w:p w:rsidR="00676DCC" w:rsidRDefault="00676DCC">
            <w:pPr>
              <w:pStyle w:val="Paragraph"/>
              <w:tabs>
                <w:tab w:val="clear" w:pos="720"/>
                <w:tab w:val="left" w:pos="708"/>
              </w:tabs>
              <w:spacing w:before="0" w:after="0"/>
              <w:ind w:left="0" w:firstLine="0"/>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en-US" w:eastAsia="en-US"/>
              </w:rPr>
            </w:pPr>
          </w:p>
        </w:tc>
        <w:tc>
          <w:tcPr>
            <w:tcW w:w="693" w:type="dxa"/>
            <w:gridSpan w:val="2"/>
            <w:tcBorders>
              <w:top w:val="single" w:sz="8" w:space="0" w:color="000000" w:themeColor="text1"/>
              <w:left w:val="nil"/>
              <w:bottom w:val="single" w:sz="8" w:space="0" w:color="000000" w:themeColor="text1"/>
              <w:right w:val="nil"/>
            </w:tcBorders>
            <w:shd w:val="clear" w:color="auto" w:fill="FFFFFF" w:themeFill="background1"/>
            <w:vAlign w:val="center"/>
          </w:tcPr>
          <w:p w:rsidR="00676DCC" w:rsidRDefault="00676DCC">
            <w:pPr>
              <w:pStyle w:val="Paragraph"/>
              <w:tabs>
                <w:tab w:val="clear" w:pos="720"/>
                <w:tab w:val="left" w:pos="708"/>
              </w:tabs>
              <w:spacing w:before="0" w:after="0"/>
              <w:ind w:left="0" w:firstLine="0"/>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en-US" w:eastAsia="en-US"/>
              </w:rPr>
            </w:pPr>
          </w:p>
        </w:tc>
        <w:tc>
          <w:tcPr>
            <w:tcW w:w="693" w:type="dxa"/>
            <w:gridSpan w:val="2"/>
            <w:tcBorders>
              <w:top w:val="single" w:sz="8" w:space="0" w:color="000000" w:themeColor="text1"/>
              <w:left w:val="nil"/>
              <w:bottom w:val="single" w:sz="8" w:space="0" w:color="000000" w:themeColor="text1"/>
              <w:right w:val="nil"/>
            </w:tcBorders>
            <w:shd w:val="clear" w:color="auto" w:fill="FFFFFF" w:themeFill="background1"/>
            <w:vAlign w:val="center"/>
          </w:tcPr>
          <w:p w:rsidR="00676DCC" w:rsidRDefault="00676DCC">
            <w:pPr>
              <w:pStyle w:val="Paragraph"/>
              <w:tabs>
                <w:tab w:val="clear" w:pos="720"/>
                <w:tab w:val="left" w:pos="708"/>
              </w:tabs>
              <w:spacing w:before="0" w:after="0"/>
              <w:ind w:left="0" w:firstLine="0"/>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en-US" w:eastAsia="en-US"/>
              </w:rPr>
            </w:pPr>
          </w:p>
        </w:tc>
        <w:tc>
          <w:tcPr>
            <w:tcW w:w="694" w:type="dxa"/>
            <w:gridSpan w:val="2"/>
            <w:tcBorders>
              <w:top w:val="single" w:sz="8" w:space="0" w:color="000000" w:themeColor="text1"/>
              <w:left w:val="nil"/>
              <w:bottom w:val="single" w:sz="8" w:space="0" w:color="000000" w:themeColor="text1"/>
              <w:right w:val="nil"/>
            </w:tcBorders>
            <w:shd w:val="clear" w:color="auto" w:fill="FFFFFF" w:themeFill="background1"/>
            <w:vAlign w:val="center"/>
          </w:tcPr>
          <w:p w:rsidR="00676DCC" w:rsidRDefault="00676DCC">
            <w:pPr>
              <w:pStyle w:val="Paragraph"/>
              <w:tabs>
                <w:tab w:val="clear" w:pos="720"/>
                <w:tab w:val="left" w:pos="708"/>
              </w:tabs>
              <w:spacing w:before="0" w:after="0"/>
              <w:ind w:left="0" w:firstLine="0"/>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en-US" w:eastAsia="en-US"/>
              </w:rPr>
            </w:pPr>
          </w:p>
        </w:tc>
        <w:tc>
          <w:tcPr>
            <w:tcW w:w="693" w:type="dxa"/>
            <w:gridSpan w:val="3"/>
            <w:tcBorders>
              <w:top w:val="single" w:sz="8" w:space="0" w:color="000000" w:themeColor="text1"/>
              <w:left w:val="nil"/>
              <w:bottom w:val="single" w:sz="8" w:space="0" w:color="000000" w:themeColor="text1"/>
              <w:right w:val="nil"/>
            </w:tcBorders>
            <w:shd w:val="clear" w:color="auto" w:fill="FFFFFF" w:themeFill="background1"/>
            <w:vAlign w:val="center"/>
          </w:tcPr>
          <w:p w:rsidR="00676DCC" w:rsidRDefault="00676DCC">
            <w:pPr>
              <w:pStyle w:val="Paragraph"/>
              <w:tabs>
                <w:tab w:val="clear" w:pos="720"/>
                <w:tab w:val="left" w:pos="708"/>
              </w:tabs>
              <w:spacing w:before="0" w:after="0"/>
              <w:ind w:left="0" w:firstLine="0"/>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en-US" w:eastAsia="en-US"/>
              </w:rPr>
            </w:pPr>
          </w:p>
        </w:tc>
        <w:tc>
          <w:tcPr>
            <w:tcW w:w="693" w:type="dxa"/>
            <w:gridSpan w:val="4"/>
            <w:tcBorders>
              <w:top w:val="single" w:sz="8" w:space="0" w:color="000000" w:themeColor="text1"/>
              <w:left w:val="nil"/>
              <w:bottom w:val="single" w:sz="8" w:space="0" w:color="000000" w:themeColor="text1"/>
              <w:right w:val="nil"/>
            </w:tcBorders>
            <w:shd w:val="clear" w:color="auto" w:fill="FFFFFF" w:themeFill="background1"/>
            <w:vAlign w:val="center"/>
          </w:tcPr>
          <w:p w:rsidR="00676DCC" w:rsidRDefault="00676DCC">
            <w:pPr>
              <w:pStyle w:val="Paragraph"/>
              <w:tabs>
                <w:tab w:val="clear" w:pos="720"/>
                <w:tab w:val="left" w:pos="708"/>
              </w:tabs>
              <w:spacing w:before="0" w:after="0"/>
              <w:ind w:left="0" w:firstLine="0"/>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en-US" w:eastAsia="en-US"/>
              </w:rPr>
            </w:pPr>
          </w:p>
        </w:tc>
        <w:tc>
          <w:tcPr>
            <w:tcW w:w="698" w:type="dxa"/>
            <w:gridSpan w:val="3"/>
            <w:tcBorders>
              <w:top w:val="single" w:sz="8" w:space="0" w:color="000000" w:themeColor="text1"/>
              <w:left w:val="nil"/>
              <w:bottom w:val="single" w:sz="8" w:space="0" w:color="000000" w:themeColor="text1"/>
              <w:right w:val="nil"/>
            </w:tcBorders>
            <w:shd w:val="clear" w:color="auto" w:fill="9BBB59" w:themeFill="accent3"/>
            <w:vAlign w:val="center"/>
          </w:tcPr>
          <w:p w:rsidR="00676DCC" w:rsidRDefault="00676DCC">
            <w:pPr>
              <w:pStyle w:val="Paragraph"/>
              <w:tabs>
                <w:tab w:val="clear" w:pos="720"/>
                <w:tab w:val="left" w:pos="708"/>
              </w:tabs>
              <w:spacing w:before="0" w:after="0"/>
              <w:ind w:left="0" w:firstLine="0"/>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en-US" w:eastAsia="en-US"/>
              </w:rPr>
            </w:pPr>
          </w:p>
        </w:tc>
        <w:tc>
          <w:tcPr>
            <w:tcW w:w="724" w:type="dxa"/>
            <w:tcBorders>
              <w:top w:val="single" w:sz="8" w:space="0" w:color="000000" w:themeColor="text1"/>
              <w:left w:val="nil"/>
              <w:bottom w:val="single" w:sz="8" w:space="0" w:color="000000" w:themeColor="text1"/>
              <w:right w:val="nil"/>
            </w:tcBorders>
            <w:shd w:val="clear" w:color="auto" w:fill="FDE9D9" w:themeFill="accent6" w:themeFillTint="33"/>
          </w:tcPr>
          <w:p w:rsidR="00676DCC" w:rsidRDefault="00676DCC">
            <w:pPr>
              <w:pStyle w:val="Paragraph"/>
              <w:tabs>
                <w:tab w:val="clear" w:pos="720"/>
                <w:tab w:val="left" w:pos="708"/>
              </w:tabs>
              <w:spacing w:before="0" w:after="0"/>
              <w:ind w:left="0" w:firstLine="0"/>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en-US" w:eastAsia="en-US"/>
              </w:rPr>
            </w:pPr>
          </w:p>
        </w:tc>
        <w:tc>
          <w:tcPr>
            <w:tcW w:w="724" w:type="dxa"/>
            <w:tcBorders>
              <w:top w:val="single" w:sz="8" w:space="0" w:color="000000" w:themeColor="text1"/>
              <w:left w:val="nil"/>
              <w:bottom w:val="single" w:sz="8" w:space="0" w:color="000000" w:themeColor="text1"/>
              <w:right w:val="single" w:sz="8" w:space="0" w:color="000000" w:themeColor="text1"/>
            </w:tcBorders>
            <w:shd w:val="clear" w:color="auto" w:fill="FDE9D9" w:themeFill="accent6" w:themeFillTint="33"/>
          </w:tcPr>
          <w:p w:rsidR="00676DCC" w:rsidRDefault="00676DCC">
            <w:pPr>
              <w:pStyle w:val="Paragraph"/>
              <w:tabs>
                <w:tab w:val="clear" w:pos="720"/>
                <w:tab w:val="left" w:pos="708"/>
              </w:tabs>
              <w:spacing w:before="0" w:after="0"/>
              <w:ind w:left="0" w:firstLine="0"/>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en-US" w:eastAsia="en-US"/>
              </w:rPr>
            </w:pPr>
          </w:p>
        </w:tc>
      </w:tr>
      <w:tr w:rsidR="00216360" w:rsidTr="004424E9">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1708" w:type="dxa"/>
            <w:tcBorders>
              <w:bottom w:val="single" w:sz="4" w:space="0" w:color="000000" w:themeColor="text1"/>
              <w:right w:val="nil"/>
            </w:tcBorders>
            <w:shd w:val="clear" w:color="auto" w:fill="9BBB59" w:themeFill="accent3"/>
            <w:vAlign w:val="center"/>
          </w:tcPr>
          <w:p w:rsidR="00216360" w:rsidRPr="004424E9" w:rsidRDefault="004E03F0">
            <w:pPr>
              <w:pStyle w:val="Paragraph"/>
              <w:tabs>
                <w:tab w:val="clear" w:pos="720"/>
                <w:tab w:val="left" w:pos="708"/>
              </w:tabs>
              <w:spacing w:before="0" w:after="0"/>
              <w:ind w:left="0" w:firstLine="0"/>
              <w:jc w:val="center"/>
              <w:rPr>
                <w:sz w:val="20"/>
                <w:szCs w:val="20"/>
                <w:lang w:val="en-US"/>
              </w:rPr>
            </w:pPr>
            <w:r>
              <w:rPr>
                <w:sz w:val="20"/>
                <w:szCs w:val="20"/>
                <w:lang w:val="en-US"/>
              </w:rPr>
              <w:t>Start Generation</w:t>
            </w:r>
          </w:p>
        </w:tc>
        <w:tc>
          <w:tcPr>
            <w:tcW w:w="4248" w:type="dxa"/>
            <w:gridSpan w:val="8"/>
            <w:tcBorders>
              <w:left w:val="nil"/>
              <w:bottom w:val="single" w:sz="4" w:space="0" w:color="000000" w:themeColor="text1"/>
              <w:right w:val="nil"/>
            </w:tcBorders>
            <w:shd w:val="clear" w:color="auto" w:fill="DBE5F1" w:themeFill="accent1" w:themeFillTint="33"/>
            <w:vAlign w:val="center"/>
          </w:tcPr>
          <w:p w:rsidR="00216360" w:rsidRDefault="00216360">
            <w:pPr>
              <w:pStyle w:val="Paragraph"/>
              <w:tabs>
                <w:tab w:val="clear" w:pos="720"/>
                <w:tab w:val="left" w:pos="708"/>
              </w:tabs>
              <w:spacing w:before="0" w:after="0"/>
              <w:ind w:left="0" w:firstLine="0"/>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eastAsia="en-US"/>
              </w:rPr>
            </w:pPr>
            <w:r>
              <w:rPr>
                <w:rFonts w:eastAsiaTheme="minorEastAsia"/>
                <w:sz w:val="20"/>
                <w:szCs w:val="20"/>
                <w:lang w:val="en-US" w:eastAsia="en-US"/>
              </w:rPr>
              <w:t>DC = Data Collection</w:t>
            </w:r>
          </w:p>
        </w:tc>
        <w:tc>
          <w:tcPr>
            <w:tcW w:w="4226" w:type="dxa"/>
            <w:gridSpan w:val="14"/>
            <w:tcBorders>
              <w:left w:val="nil"/>
              <w:bottom w:val="single" w:sz="4" w:space="0" w:color="000000" w:themeColor="text1"/>
            </w:tcBorders>
            <w:shd w:val="clear" w:color="auto" w:fill="FDE9D9" w:themeFill="accent6" w:themeFillTint="33"/>
            <w:vAlign w:val="center"/>
          </w:tcPr>
          <w:p w:rsidR="00216360" w:rsidRDefault="00216360">
            <w:pPr>
              <w:pStyle w:val="Paragraph"/>
              <w:tabs>
                <w:tab w:val="clear" w:pos="720"/>
                <w:tab w:val="left" w:pos="708"/>
              </w:tabs>
              <w:spacing w:before="0" w:after="0"/>
              <w:ind w:left="0" w:firstLine="0"/>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eastAsia="en-US"/>
              </w:rPr>
            </w:pPr>
            <w:r>
              <w:rPr>
                <w:rFonts w:eastAsiaTheme="minorEastAsia"/>
                <w:sz w:val="20"/>
                <w:szCs w:val="20"/>
                <w:lang w:val="en-US" w:eastAsia="en-US"/>
              </w:rPr>
              <w:t>P = Projections</w:t>
            </w:r>
          </w:p>
        </w:tc>
      </w:tr>
    </w:tbl>
    <w:p w:rsidR="008E7382" w:rsidRPr="0018131E" w:rsidRDefault="008E7382" w:rsidP="004424E9">
      <w:pPr>
        <w:pStyle w:val="AutoNumpara"/>
        <w:numPr>
          <w:ilvl w:val="0"/>
          <w:numId w:val="0"/>
        </w:numPr>
        <w:ind w:left="2160"/>
        <w:rPr>
          <w:lang w:val="en-US"/>
        </w:rPr>
      </w:pPr>
    </w:p>
    <w:p w:rsidR="00EC549A" w:rsidRDefault="0018131E" w:rsidP="004424E9">
      <w:pPr>
        <w:pStyle w:val="AutoNumpara"/>
        <w:numPr>
          <w:ilvl w:val="0"/>
          <w:numId w:val="18"/>
        </w:numPr>
        <w:ind w:left="1800"/>
        <w:rPr>
          <w:lang w:val="en-US"/>
        </w:rPr>
      </w:pPr>
      <w:r>
        <w:rPr>
          <w:lang w:val="en-US"/>
        </w:rPr>
        <w:t xml:space="preserve">Calculate the </w:t>
      </w:r>
      <w:r w:rsidR="007C49D8">
        <w:rPr>
          <w:lang w:val="en-US"/>
        </w:rPr>
        <w:t xml:space="preserve">cost of net MWh </w:t>
      </w:r>
      <w:r w:rsidR="009A4B8B">
        <w:rPr>
          <w:lang w:val="en-US"/>
        </w:rPr>
        <w:t xml:space="preserve">for each of </w:t>
      </w:r>
      <w:r w:rsidR="007C49D8">
        <w:rPr>
          <w:lang w:val="en-US"/>
        </w:rPr>
        <w:t>the financed projects</w:t>
      </w:r>
      <w:r w:rsidRPr="0018131E">
        <w:rPr>
          <w:lang w:val="en-US"/>
        </w:rPr>
        <w:t xml:space="preserve">. </w:t>
      </w:r>
    </w:p>
    <w:p w:rsidR="001D62C4" w:rsidRPr="001D62C4" w:rsidRDefault="00A73D28" w:rsidP="004424E9">
      <w:pPr>
        <w:pStyle w:val="AutoNumpara"/>
        <w:numPr>
          <w:ilvl w:val="0"/>
          <w:numId w:val="0"/>
        </w:numPr>
        <w:ind w:left="2160"/>
        <w:rPr>
          <w:lang w:val="en-US"/>
        </w:rPr>
      </w:pPr>
      <m:oMathPara>
        <m:oMath>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g</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MWh</m:t>
              </m:r>
            </m:num>
            <m:den>
              <m:r>
                <w:rPr>
                  <w:rFonts w:ascii="Cambria Math" w:hAnsi="Cambria Math"/>
                  <w:lang w:val="en-US"/>
                </w:rPr>
                <m:t>Inv</m:t>
              </m:r>
            </m:den>
          </m:f>
        </m:oMath>
      </m:oMathPara>
    </w:p>
    <w:p w:rsidR="00EB4619" w:rsidRDefault="00EB4619" w:rsidP="004424E9">
      <w:pPr>
        <w:pStyle w:val="AutoNumpara"/>
        <w:numPr>
          <w:ilvl w:val="0"/>
          <w:numId w:val="18"/>
        </w:numPr>
        <w:ind w:left="1800"/>
        <w:rPr>
          <w:lang w:val="en-US"/>
        </w:rPr>
      </w:pPr>
      <w:r>
        <w:rPr>
          <w:lang w:val="en-US"/>
        </w:rPr>
        <w:t>Here, we can differentitate two stages,</w:t>
      </w:r>
    </w:p>
    <w:p w:rsidR="006B60AB" w:rsidRDefault="00EB4619" w:rsidP="004424E9">
      <w:pPr>
        <w:pStyle w:val="AutoNumpara"/>
        <w:numPr>
          <w:ilvl w:val="1"/>
          <w:numId w:val="46"/>
        </w:numPr>
        <w:ind w:left="2160"/>
        <w:rPr>
          <w:lang w:val="en-US"/>
        </w:rPr>
      </w:pPr>
      <w:r>
        <w:rPr>
          <w:lang w:val="en-US"/>
        </w:rPr>
        <w:t xml:space="preserve">When we have real </w:t>
      </w:r>
      <w:r w:rsidR="001D62C4">
        <w:rPr>
          <w:lang w:val="en-US"/>
        </w:rPr>
        <w:t>data</w:t>
      </w:r>
      <w:r>
        <w:rPr>
          <w:lang w:val="en-US"/>
        </w:rPr>
        <w:t>. For instance, in the plant</w:t>
      </w:r>
      <w:r w:rsidR="001D62C4">
        <w:rPr>
          <w:lang w:val="en-US"/>
        </w:rPr>
        <w:t xml:space="preserve"> Geothermal 1 from 20</w:t>
      </w:r>
      <w:r>
        <w:rPr>
          <w:lang w:val="en-US"/>
        </w:rPr>
        <w:t>1</w:t>
      </w:r>
      <w:r w:rsidR="001D62C4">
        <w:rPr>
          <w:lang w:val="en-US"/>
        </w:rPr>
        <w:t>7</w:t>
      </w:r>
      <w:r>
        <w:rPr>
          <w:lang w:val="en-US"/>
        </w:rPr>
        <w:t xml:space="preserve"> to 202</w:t>
      </w:r>
      <w:r w:rsidR="001D62C4">
        <w:rPr>
          <w:lang w:val="en-US"/>
        </w:rPr>
        <w:t>0</w:t>
      </w:r>
      <w:r>
        <w:rPr>
          <w:lang w:val="en-US"/>
        </w:rPr>
        <w:t>.</w:t>
      </w:r>
    </w:p>
    <w:p w:rsidR="00EB4619" w:rsidRDefault="00EB4619" w:rsidP="004424E9">
      <w:pPr>
        <w:pStyle w:val="AutoNumpara"/>
        <w:numPr>
          <w:ilvl w:val="1"/>
          <w:numId w:val="46"/>
        </w:numPr>
        <w:ind w:left="2160"/>
        <w:rPr>
          <w:lang w:val="en-US"/>
        </w:rPr>
      </w:pPr>
      <w:r>
        <w:rPr>
          <w:lang w:val="en-US"/>
        </w:rPr>
        <w:t xml:space="preserve">When we have to </w:t>
      </w:r>
      <w:r w:rsidR="00441C41">
        <w:rPr>
          <w:lang w:val="en-US"/>
        </w:rPr>
        <w:t>project</w:t>
      </w:r>
      <w:r>
        <w:rPr>
          <w:lang w:val="en-US"/>
        </w:rPr>
        <w:t xml:space="preserve"> the data based on </w:t>
      </w:r>
      <w:r w:rsidR="00D8336B">
        <w:rPr>
          <w:lang w:val="en-US"/>
        </w:rPr>
        <w:t xml:space="preserve">information </w:t>
      </w:r>
      <w:r w:rsidR="00DD1827">
        <w:rPr>
          <w:lang w:val="en-US"/>
        </w:rPr>
        <w:t>collected</w:t>
      </w:r>
      <w:r w:rsidR="001D62C4">
        <w:rPr>
          <w:lang w:val="en-US"/>
        </w:rPr>
        <w:t>, that is, from 2021 to 2034</w:t>
      </w:r>
      <w:r w:rsidR="003E1D93">
        <w:rPr>
          <w:lang w:val="en-US"/>
        </w:rPr>
        <w:t>.</w:t>
      </w:r>
      <w:r w:rsidR="00441C41">
        <w:rPr>
          <w:lang w:val="en-US"/>
        </w:rPr>
        <w:t xml:space="preserve"> </w:t>
      </w:r>
    </w:p>
    <w:p w:rsidR="008E6C50" w:rsidRDefault="008E6C50" w:rsidP="004424E9">
      <w:pPr>
        <w:pStyle w:val="AutoNumpara"/>
        <w:numPr>
          <w:ilvl w:val="0"/>
          <w:numId w:val="18"/>
        </w:numPr>
        <w:ind w:left="1800"/>
        <w:rPr>
          <w:lang w:val="en-US"/>
        </w:rPr>
      </w:pPr>
      <w:r>
        <w:rPr>
          <w:lang w:val="en-US"/>
        </w:rPr>
        <w:t>Based on the information</w:t>
      </w:r>
      <w:r w:rsidR="00FD41F8">
        <w:rPr>
          <w:lang w:val="en-US"/>
        </w:rPr>
        <w:t>,</w:t>
      </w:r>
      <w:r>
        <w:rPr>
          <w:lang w:val="en-US"/>
        </w:rPr>
        <w:t xml:space="preserve"> </w:t>
      </w:r>
      <w:r w:rsidR="00FD41F8">
        <w:rPr>
          <w:lang w:val="en-US"/>
        </w:rPr>
        <w:t>real</w:t>
      </w:r>
      <w:r>
        <w:rPr>
          <w:lang w:val="en-US"/>
        </w:rPr>
        <w:t xml:space="preserve"> and </w:t>
      </w:r>
      <w:r w:rsidR="00CF4AAE">
        <w:rPr>
          <w:lang w:val="en-US"/>
        </w:rPr>
        <w:t>projected</w:t>
      </w:r>
      <w:r w:rsidR="00FD41F8">
        <w:rPr>
          <w:lang w:val="en-US"/>
        </w:rPr>
        <w:t>,</w:t>
      </w:r>
      <w:r>
        <w:rPr>
          <w:lang w:val="en-US"/>
        </w:rPr>
        <w:t xml:space="preserve"> we can calculat </w:t>
      </w:r>
      <w:r w:rsidR="00FD41F8">
        <w:rPr>
          <w:lang w:val="en-US"/>
        </w:rPr>
        <w:t>the</w:t>
      </w:r>
      <w:r>
        <w:rPr>
          <w:lang w:val="en-US"/>
        </w:rPr>
        <w:t xml:space="preserve"> MWh</w:t>
      </w:r>
      <w:r w:rsidR="00F65B38">
        <w:rPr>
          <w:lang w:val="en-US"/>
        </w:rPr>
        <w:t>/USD</w:t>
      </w:r>
      <w:r>
        <w:rPr>
          <w:lang w:val="en-US"/>
        </w:rPr>
        <w:t xml:space="preserve"> of each of the projects financed. </w:t>
      </w:r>
    </w:p>
    <w:p w:rsidR="00B14110" w:rsidRPr="004424E9" w:rsidRDefault="00B14110" w:rsidP="004424E9">
      <w:pPr>
        <w:pStyle w:val="AutoNumpara"/>
        <w:numPr>
          <w:ilvl w:val="0"/>
          <w:numId w:val="0"/>
        </w:numPr>
        <w:ind w:left="720" w:hanging="720"/>
        <w:rPr>
          <w:u w:val="single"/>
          <w:lang w:val="en-US"/>
        </w:rPr>
      </w:pPr>
      <w:r>
        <w:rPr>
          <w:lang w:val="en-US"/>
        </w:rPr>
        <w:t xml:space="preserve">                  </w:t>
      </w:r>
      <w:r w:rsidRPr="00323745">
        <w:rPr>
          <w:u w:val="single"/>
          <w:lang w:val="en-US"/>
        </w:rPr>
        <w:t xml:space="preserve">Costs of </w:t>
      </w:r>
      <w:r>
        <w:rPr>
          <w:u w:val="single"/>
          <w:lang w:val="en-US"/>
        </w:rPr>
        <w:t>the rest of renewable energ</w:t>
      </w:r>
      <w:r w:rsidR="00FD41F8">
        <w:rPr>
          <w:u w:val="single"/>
          <w:lang w:val="en-US"/>
        </w:rPr>
        <w:t>y</w:t>
      </w:r>
      <w:r w:rsidRPr="00323745">
        <w:rPr>
          <w:u w:val="single"/>
          <w:lang w:val="en-US"/>
        </w:rPr>
        <w:t xml:space="preserve"> generation</w:t>
      </w:r>
      <w:r w:rsidR="00FD41F8">
        <w:rPr>
          <w:rStyle w:val="FootnoteReference"/>
          <w:u w:val="single"/>
          <w:lang w:val="en-US"/>
        </w:rPr>
        <w:footnoteReference w:id="14"/>
      </w:r>
    </w:p>
    <w:p w:rsidR="00DB354B" w:rsidRPr="009D4877" w:rsidRDefault="0018131E" w:rsidP="004424E9">
      <w:pPr>
        <w:pStyle w:val="AutoNumpara"/>
        <w:numPr>
          <w:ilvl w:val="0"/>
          <w:numId w:val="21"/>
        </w:numPr>
        <w:ind w:left="1800"/>
        <w:rPr>
          <w:lang w:val="en-US"/>
        </w:rPr>
      </w:pPr>
      <w:r w:rsidRPr="0018131E">
        <w:rPr>
          <w:lang w:val="en-US"/>
        </w:rPr>
        <w:t xml:space="preserve">Take the annual </w:t>
      </w:r>
      <w:r w:rsidR="003B6920">
        <w:rPr>
          <w:lang w:val="en-US"/>
        </w:rPr>
        <w:t xml:space="preserve">renewable </w:t>
      </w:r>
      <w:r w:rsidRPr="0018131E">
        <w:rPr>
          <w:lang w:val="en-US"/>
        </w:rPr>
        <w:t xml:space="preserve">electric generation </w:t>
      </w:r>
      <w:r w:rsidR="00103A9E">
        <w:rPr>
          <w:lang w:val="en-US"/>
        </w:rPr>
        <w:t xml:space="preserve">distribution </w:t>
      </w:r>
      <w:r w:rsidRPr="0018131E">
        <w:rPr>
          <w:lang w:val="en-US"/>
        </w:rPr>
        <w:t xml:space="preserve">and calculate the percentage </w:t>
      </w:r>
      <w:r w:rsidR="00DB354B">
        <w:rPr>
          <w:lang w:val="en-US"/>
        </w:rPr>
        <w:t>of each type</w:t>
      </w:r>
      <w:r w:rsidR="00B83FB0">
        <w:rPr>
          <w:rStyle w:val="FootnoteReference"/>
          <w:lang w:val="en-US"/>
        </w:rPr>
        <w:footnoteReference w:id="15"/>
      </w:r>
      <w:r w:rsidR="00F21ADE">
        <w:rPr>
          <w:lang w:val="en-US"/>
        </w:rPr>
        <w:t>.</w:t>
      </w:r>
      <w:r w:rsidR="00DB354B">
        <w:rPr>
          <w:lang w:val="en-US"/>
        </w:rPr>
        <w:t xml:space="preserve"> </w:t>
      </w:r>
      <w:r w:rsidR="00BE3417">
        <w:rPr>
          <w:lang w:val="en-US"/>
        </w:rPr>
        <w:t>For instance, t</w:t>
      </w:r>
      <w:r w:rsidR="00DB354B" w:rsidRPr="004424E9">
        <w:rPr>
          <w:szCs w:val="24"/>
          <w:lang w:val="en-US"/>
        </w:rPr>
        <w:t>he pool of renewable energies in Mexico and their percentage by technology generation</w:t>
      </w:r>
      <w:r w:rsidR="00FD41F8">
        <w:rPr>
          <w:szCs w:val="24"/>
          <w:lang w:val="en-US"/>
        </w:rPr>
        <w:t xml:space="preserve"> in 2012</w:t>
      </w:r>
      <w:r w:rsidR="00DB354B" w:rsidRPr="00BE3417">
        <w:rPr>
          <w:szCs w:val="24"/>
          <w:vertAlign w:val="superscript"/>
        </w:rPr>
        <w:footnoteReference w:id="16"/>
      </w:r>
      <w:r w:rsidR="00DB354B" w:rsidRPr="004424E9">
        <w:rPr>
          <w:szCs w:val="24"/>
          <w:lang w:val="en-US"/>
        </w:rPr>
        <w:t xml:space="preserve"> </w:t>
      </w:r>
      <w:r w:rsidR="00FD41F8">
        <w:rPr>
          <w:szCs w:val="24"/>
          <w:lang w:val="en-US"/>
        </w:rPr>
        <w:t>were:</w:t>
      </w:r>
      <w:r w:rsidR="00DB354B" w:rsidRPr="004424E9">
        <w:rPr>
          <w:rFonts w:eastAsiaTheme="minorHAnsi"/>
          <w:szCs w:val="24"/>
          <w:lang w:val="en-US" w:eastAsia="es-ES"/>
        </w:rPr>
        <w:t xml:space="preserve"> </w:t>
      </w:r>
    </w:p>
    <w:p w:rsidR="003151BF" w:rsidRPr="004424E9" w:rsidRDefault="003151BF" w:rsidP="004424E9">
      <w:pPr>
        <w:pStyle w:val="BodyText2"/>
        <w:spacing w:after="0" w:line="240" w:lineRule="auto"/>
        <w:ind w:left="2160"/>
        <w:rPr>
          <w:b/>
          <w:szCs w:val="24"/>
          <w:lang w:val="en-US"/>
        </w:rPr>
      </w:pPr>
      <w:r w:rsidRPr="004424E9">
        <w:rPr>
          <w:b/>
          <w:szCs w:val="24"/>
          <w:lang w:val="en-US"/>
        </w:rPr>
        <w:t xml:space="preserve">Chart. 2.2 </w:t>
      </w:r>
      <w:r w:rsidRPr="000F102A">
        <w:rPr>
          <w:b/>
          <w:szCs w:val="24"/>
          <w:lang w:val="en-US"/>
        </w:rPr>
        <w:t>Distributions of renewable energy in Mexico</w:t>
      </w:r>
    </w:p>
    <w:p w:rsidR="00103A9E" w:rsidRPr="00D8723E" w:rsidRDefault="00F957DF" w:rsidP="004424E9">
      <w:pPr>
        <w:pStyle w:val="AutoNumpara"/>
        <w:numPr>
          <w:ilvl w:val="0"/>
          <w:numId w:val="0"/>
        </w:numPr>
        <w:jc w:val="center"/>
        <w:rPr>
          <w:lang w:val="en-US"/>
        </w:rPr>
      </w:pPr>
      <w:r>
        <w:rPr>
          <w:lang w:val="en-US" w:eastAsia="en-US"/>
        </w:rPr>
        <w:drawing>
          <wp:inline distT="0" distB="0" distL="0" distR="0" wp14:anchorId="127C8DFC" wp14:editId="4F5FC36E">
            <wp:extent cx="4057650" cy="2085975"/>
            <wp:effectExtent l="0" t="0" r="1905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E78EC" w:rsidRDefault="00F21ADE" w:rsidP="004424E9">
      <w:pPr>
        <w:pStyle w:val="AutoNumpara"/>
        <w:numPr>
          <w:ilvl w:val="0"/>
          <w:numId w:val="21"/>
        </w:numPr>
        <w:ind w:left="1800"/>
        <w:rPr>
          <w:lang w:val="en-US"/>
        </w:rPr>
      </w:pPr>
      <w:r>
        <w:rPr>
          <w:lang w:val="en-US"/>
        </w:rPr>
        <w:t xml:space="preserve">Taking </w:t>
      </w:r>
      <w:r w:rsidR="00055FFF">
        <w:rPr>
          <w:lang w:val="en-US"/>
        </w:rPr>
        <w:t>representative</w:t>
      </w:r>
      <w:r w:rsidR="00055FFF">
        <w:rPr>
          <w:rStyle w:val="FootnoteReference"/>
          <w:lang w:val="en-US"/>
        </w:rPr>
        <w:footnoteReference w:id="17"/>
      </w:r>
      <w:r>
        <w:rPr>
          <w:lang w:val="en-US"/>
        </w:rPr>
        <w:t xml:space="preserve"> </w:t>
      </w:r>
      <w:r w:rsidR="00DE78EC">
        <w:rPr>
          <w:lang w:val="en-US"/>
        </w:rPr>
        <w:t>power</w:t>
      </w:r>
      <w:r>
        <w:rPr>
          <w:lang w:val="en-US"/>
        </w:rPr>
        <w:t xml:space="preserve"> plants of the different renewable sources</w:t>
      </w:r>
      <w:r w:rsidR="0018131E" w:rsidRPr="0018131E">
        <w:rPr>
          <w:lang w:val="en-US"/>
        </w:rPr>
        <w:t xml:space="preserve">, </w:t>
      </w:r>
      <w:r>
        <w:rPr>
          <w:lang w:val="en-US"/>
        </w:rPr>
        <w:t xml:space="preserve">calculate </w:t>
      </w:r>
      <w:r w:rsidR="004D5F81">
        <w:rPr>
          <w:lang w:val="en-US"/>
        </w:rPr>
        <w:t xml:space="preserve">the </w:t>
      </w:r>
      <w:r w:rsidR="00D8723E">
        <w:rPr>
          <w:lang w:val="en-US"/>
        </w:rPr>
        <w:t xml:space="preserve">weighted </w:t>
      </w:r>
      <w:r w:rsidR="004D5F81">
        <w:rPr>
          <w:lang w:val="en-US"/>
        </w:rPr>
        <w:t xml:space="preserve">average </w:t>
      </w:r>
      <w:r w:rsidR="00D8723E">
        <w:rPr>
          <w:lang w:val="en-US"/>
        </w:rPr>
        <w:t>of the generation cost (</w:t>
      </w:r>
      <w:r>
        <w:rPr>
          <w:lang w:val="en-US"/>
        </w:rPr>
        <w:t>MWh/</w:t>
      </w:r>
      <w:r w:rsidR="0018131E" w:rsidRPr="0018131E">
        <w:rPr>
          <w:lang w:val="en-US"/>
        </w:rPr>
        <w:t>USD</w:t>
      </w:r>
      <w:r w:rsidR="003B6920">
        <w:rPr>
          <w:rStyle w:val="FootnoteReference"/>
          <w:lang w:val="en-US"/>
        </w:rPr>
        <w:footnoteReference w:id="18"/>
      </w:r>
      <w:r w:rsidR="00D8723E">
        <w:rPr>
          <w:lang w:val="en-US"/>
        </w:rPr>
        <w:t>).</w:t>
      </w:r>
      <w:r w:rsidR="0018131E" w:rsidRPr="0018131E">
        <w:rPr>
          <w:lang w:val="en-US"/>
        </w:rPr>
        <w:t xml:space="preserve"> </w:t>
      </w:r>
      <w:r w:rsidRPr="00812A81">
        <w:rPr>
          <w:lang w:val="en-US"/>
        </w:rPr>
        <w:t>B</w:t>
      </w:r>
      <w:r w:rsidRPr="00955F80">
        <w:rPr>
          <w:lang w:val="en-US"/>
        </w:rPr>
        <w:t>ear in mind that th</w:t>
      </w:r>
      <w:r w:rsidR="007721FF">
        <w:rPr>
          <w:lang w:val="en-US"/>
        </w:rPr>
        <w:t>e cost of renewabe energ</w:t>
      </w:r>
      <w:r w:rsidR="00FD41F8">
        <w:rPr>
          <w:lang w:val="en-US"/>
        </w:rPr>
        <w:t>y technologies</w:t>
      </w:r>
      <w:r w:rsidR="007721FF">
        <w:rPr>
          <w:lang w:val="en-US"/>
        </w:rPr>
        <w:t xml:space="preserve"> </w:t>
      </w:r>
      <w:r w:rsidR="0018131E" w:rsidRPr="00955F80">
        <w:rPr>
          <w:lang w:val="en-US"/>
        </w:rPr>
        <w:t xml:space="preserve">may vary </w:t>
      </w:r>
      <w:r w:rsidR="00DE78EC">
        <w:rPr>
          <w:lang w:val="en-US"/>
        </w:rPr>
        <w:t>in two cases</w:t>
      </w:r>
      <w:r w:rsidR="00FD41F8">
        <w:rPr>
          <w:lang w:val="en-US"/>
        </w:rPr>
        <w:t>:</w:t>
      </w:r>
    </w:p>
    <w:p w:rsidR="00955F80" w:rsidRDefault="00DE78EC" w:rsidP="004424E9">
      <w:pPr>
        <w:pStyle w:val="AutoNumpara"/>
        <w:numPr>
          <w:ilvl w:val="1"/>
          <w:numId w:val="47"/>
        </w:numPr>
        <w:ind w:left="2160"/>
        <w:rPr>
          <w:lang w:val="en-US"/>
        </w:rPr>
      </w:pPr>
      <w:r>
        <w:rPr>
          <w:lang w:val="en-US"/>
        </w:rPr>
        <w:t>D</w:t>
      </w:r>
      <w:r w:rsidR="0018131E" w:rsidRPr="00DE78EC">
        <w:rPr>
          <w:lang w:val="en-US"/>
        </w:rPr>
        <w:t xml:space="preserve">epending on the net generation of each of the </w:t>
      </w:r>
      <w:r w:rsidR="00F21ADE" w:rsidRPr="00DE78EC">
        <w:rPr>
          <w:lang w:val="en-US"/>
        </w:rPr>
        <w:t>financed</w:t>
      </w:r>
      <w:r w:rsidRPr="00DE78EC">
        <w:rPr>
          <w:lang w:val="en-US"/>
        </w:rPr>
        <w:t xml:space="preserve"> geothermal plants</w:t>
      </w:r>
      <w:r w:rsidR="007721FF">
        <w:rPr>
          <w:lang w:val="en-US"/>
        </w:rPr>
        <w:t xml:space="preserve"> (</w:t>
      </w:r>
      <w:r w:rsidR="00FD41F8">
        <w:rPr>
          <w:lang w:val="en-US"/>
        </w:rPr>
        <w:t>i.e</w:t>
      </w:r>
      <w:r w:rsidR="007721FF">
        <w:rPr>
          <w:lang w:val="en-US"/>
        </w:rPr>
        <w:t xml:space="preserve">. </w:t>
      </w:r>
      <w:r w:rsidR="00FD41F8">
        <w:rPr>
          <w:lang w:val="en-US"/>
        </w:rPr>
        <w:t>costs are</w:t>
      </w:r>
      <w:r w:rsidR="007721FF">
        <w:rPr>
          <w:lang w:val="en-US"/>
        </w:rPr>
        <w:t xml:space="preserve"> not the same</w:t>
      </w:r>
      <w:r w:rsidR="00FD41F8">
        <w:rPr>
          <w:lang w:val="en-US"/>
        </w:rPr>
        <w:t xml:space="preserve"> for </w:t>
      </w:r>
      <w:r w:rsidR="007721FF">
        <w:rPr>
          <w:lang w:val="en-US"/>
        </w:rPr>
        <w:t>a 90 MW tha</w:t>
      </w:r>
      <w:r w:rsidR="00FD41F8">
        <w:rPr>
          <w:lang w:val="en-US"/>
        </w:rPr>
        <w:t>n</w:t>
      </w:r>
      <w:r w:rsidR="007721FF">
        <w:rPr>
          <w:lang w:val="en-US"/>
        </w:rPr>
        <w:t xml:space="preserve"> </w:t>
      </w:r>
      <w:r w:rsidR="00FD41F8">
        <w:rPr>
          <w:lang w:val="en-US"/>
        </w:rPr>
        <w:t xml:space="preserve">for </w:t>
      </w:r>
      <w:r w:rsidR="007721FF">
        <w:rPr>
          <w:lang w:val="en-US"/>
        </w:rPr>
        <w:t>a 25 MW geothermal plant)</w:t>
      </w:r>
      <w:r w:rsidR="00FD41F8">
        <w:rPr>
          <w:lang w:val="en-US"/>
        </w:rPr>
        <w:t>;</w:t>
      </w:r>
      <w:r w:rsidR="007721FF">
        <w:rPr>
          <w:lang w:val="en-US"/>
        </w:rPr>
        <w:t xml:space="preserve"> and</w:t>
      </w:r>
    </w:p>
    <w:p w:rsidR="007721FF" w:rsidRDefault="007721FF" w:rsidP="004424E9">
      <w:pPr>
        <w:pStyle w:val="AutoNumpara"/>
        <w:numPr>
          <w:ilvl w:val="1"/>
          <w:numId w:val="47"/>
        </w:numPr>
        <w:ind w:left="2160"/>
        <w:rPr>
          <w:lang w:val="en-US"/>
        </w:rPr>
      </w:pPr>
      <w:r>
        <w:rPr>
          <w:lang w:val="en-US"/>
        </w:rPr>
        <w:t>Depending on the percentage</w:t>
      </w:r>
      <w:r w:rsidR="002351F0">
        <w:rPr>
          <w:lang w:val="en-US"/>
        </w:rPr>
        <w:t xml:space="preserve"> (share)</w:t>
      </w:r>
      <w:r>
        <w:rPr>
          <w:lang w:val="en-US"/>
        </w:rPr>
        <w:t xml:space="preserve"> and </w:t>
      </w:r>
      <w:r w:rsidR="002351F0">
        <w:rPr>
          <w:lang w:val="en-US"/>
        </w:rPr>
        <w:t xml:space="preserve">adjusted </w:t>
      </w:r>
      <w:r>
        <w:rPr>
          <w:lang w:val="en-US"/>
        </w:rPr>
        <w:t xml:space="preserve">cost of generation of </w:t>
      </w:r>
      <w:r w:rsidR="002351F0">
        <w:rPr>
          <w:lang w:val="en-US"/>
        </w:rPr>
        <w:t xml:space="preserve">each </w:t>
      </w:r>
      <w:r>
        <w:rPr>
          <w:lang w:val="en-US"/>
        </w:rPr>
        <w:t>renewable energ</w:t>
      </w:r>
      <w:r w:rsidR="002351F0">
        <w:rPr>
          <w:lang w:val="en-US"/>
        </w:rPr>
        <w:t>y technology</w:t>
      </w:r>
      <w:r>
        <w:rPr>
          <w:lang w:val="en-US"/>
        </w:rPr>
        <w:t>.</w:t>
      </w:r>
    </w:p>
    <w:p w:rsidR="00A4375D" w:rsidRDefault="00A4375D" w:rsidP="004424E9">
      <w:pPr>
        <w:pStyle w:val="AutoNumpara"/>
        <w:numPr>
          <w:ilvl w:val="0"/>
          <w:numId w:val="21"/>
        </w:numPr>
        <w:ind w:left="1800"/>
        <w:rPr>
          <w:lang w:val="en-US"/>
        </w:rPr>
      </w:pPr>
      <w:r>
        <w:rPr>
          <w:lang w:val="en-US"/>
        </w:rPr>
        <w:t>After 2020, we will have to project the renewable energy generation costs</w:t>
      </w:r>
      <w:r w:rsidR="002351F0">
        <w:rPr>
          <w:lang w:val="en-US"/>
        </w:rPr>
        <w:t>, based on historical data which is widely available in Mexico and worldwide</w:t>
      </w:r>
      <w:r>
        <w:rPr>
          <w:lang w:val="en-US"/>
        </w:rPr>
        <w:t xml:space="preserve">. </w:t>
      </w:r>
    </w:p>
    <w:p w:rsidR="007F3EBA" w:rsidRPr="004424E9" w:rsidRDefault="007F3EBA" w:rsidP="004424E9">
      <w:pPr>
        <w:pStyle w:val="AutoNumpara"/>
        <w:numPr>
          <w:ilvl w:val="0"/>
          <w:numId w:val="0"/>
        </w:numPr>
        <w:ind w:left="720" w:hanging="720"/>
        <w:rPr>
          <w:u w:val="single"/>
          <w:lang w:val="en-US"/>
        </w:rPr>
      </w:pPr>
      <w:r>
        <w:rPr>
          <w:lang w:val="en-US"/>
        </w:rPr>
        <w:t xml:space="preserve">               </w:t>
      </w:r>
      <w:r w:rsidR="000E5269">
        <w:rPr>
          <w:lang w:val="en-US"/>
        </w:rPr>
        <w:t xml:space="preserve">        </w:t>
      </w:r>
      <w:r>
        <w:rPr>
          <w:u w:val="single"/>
          <w:lang w:val="en-US"/>
        </w:rPr>
        <w:t>Savings</w:t>
      </w:r>
    </w:p>
    <w:p w:rsidR="00110492" w:rsidRDefault="00955F80" w:rsidP="004424E9">
      <w:pPr>
        <w:pStyle w:val="AutoNumpara"/>
        <w:numPr>
          <w:ilvl w:val="0"/>
          <w:numId w:val="23"/>
        </w:numPr>
        <w:ind w:left="1800"/>
        <w:rPr>
          <w:lang w:val="en-US"/>
        </w:rPr>
      </w:pPr>
      <w:r>
        <w:rPr>
          <w:lang w:val="en-US"/>
        </w:rPr>
        <w:t>Finally, c</w:t>
      </w:r>
      <w:r w:rsidR="005C1642">
        <w:rPr>
          <w:lang w:val="en-US"/>
        </w:rPr>
        <w:t>alculate</w:t>
      </w:r>
      <w:r w:rsidR="00DB14E8">
        <w:rPr>
          <w:lang w:val="en-US"/>
        </w:rPr>
        <w:t xml:space="preserve"> the difference between </w:t>
      </w:r>
      <w:r w:rsidR="0018131E" w:rsidRPr="0018131E">
        <w:rPr>
          <w:lang w:val="en-US"/>
        </w:rPr>
        <w:t xml:space="preserve">the cost of geothermal power </w:t>
      </w:r>
      <w:r w:rsidR="00DB14E8">
        <w:rPr>
          <w:lang w:val="en-US"/>
        </w:rPr>
        <w:t>generation for each project</w:t>
      </w:r>
      <w:r w:rsidR="005C1642">
        <w:rPr>
          <w:lang w:val="en-US"/>
        </w:rPr>
        <w:t>/year</w:t>
      </w:r>
      <w:r w:rsidR="00DB14E8">
        <w:rPr>
          <w:lang w:val="en-US"/>
        </w:rPr>
        <w:t xml:space="preserve"> </w:t>
      </w:r>
      <w:r>
        <w:rPr>
          <w:lang w:val="en-US"/>
        </w:rPr>
        <w:t>and</w:t>
      </w:r>
      <w:r w:rsidR="00DB14E8">
        <w:rPr>
          <w:lang w:val="en-US"/>
        </w:rPr>
        <w:t xml:space="preserve"> the </w:t>
      </w:r>
      <w:r w:rsidR="00C95189">
        <w:rPr>
          <w:lang w:val="en-US"/>
        </w:rPr>
        <w:t>cost</w:t>
      </w:r>
      <w:r w:rsidR="00DB14E8">
        <w:rPr>
          <w:lang w:val="en-US"/>
        </w:rPr>
        <w:t xml:space="preserve"> of </w:t>
      </w:r>
      <w:r w:rsidR="002351F0">
        <w:rPr>
          <w:lang w:val="en-US"/>
        </w:rPr>
        <w:t>a</w:t>
      </w:r>
      <w:r w:rsidR="00DB14E8">
        <w:rPr>
          <w:lang w:val="en-US"/>
        </w:rPr>
        <w:t xml:space="preserve"> representative pool of renewable energies</w:t>
      </w:r>
      <w:r w:rsidR="00110492">
        <w:rPr>
          <w:lang w:val="en-US"/>
        </w:rPr>
        <w:t xml:space="preserve"> </w:t>
      </w:r>
      <w:r w:rsidR="00C95189">
        <w:rPr>
          <w:lang w:val="en-US"/>
        </w:rPr>
        <w:t>from 2015 to 2044.</w:t>
      </w:r>
    </w:p>
    <w:p w:rsidR="00437912" w:rsidRPr="005D209C" w:rsidRDefault="00437912" w:rsidP="005D209C">
      <w:pPr>
        <w:pStyle w:val="AutoNumpara"/>
        <w:numPr>
          <w:ilvl w:val="0"/>
          <w:numId w:val="0"/>
        </w:numPr>
        <w:ind w:left="1440"/>
        <w:rPr>
          <w:lang w:val="en-US"/>
        </w:rPr>
      </w:pPr>
    </w:p>
    <w:p w:rsidR="00E6532B" w:rsidRPr="005D209C" w:rsidRDefault="002351F0" w:rsidP="008D4B06">
      <w:pPr>
        <w:pStyle w:val="AutoNumpara"/>
        <w:numPr>
          <w:ilvl w:val="0"/>
          <w:numId w:val="10"/>
        </w:numPr>
        <w:ind w:left="1170"/>
        <w:rPr>
          <w:lang w:val="en-US"/>
        </w:rPr>
      </w:pPr>
      <w:r w:rsidRPr="00E6532B">
        <w:rPr>
          <w:lang w:val="en-US"/>
        </w:rPr>
        <w:t>GHG EMISSIONS REDUCED</w:t>
      </w:r>
    </w:p>
    <w:p w:rsidR="00EF2452" w:rsidRPr="00EF2452" w:rsidRDefault="002351F0" w:rsidP="008D4B06">
      <w:pPr>
        <w:pStyle w:val="AutoNumpara"/>
        <w:numPr>
          <w:ilvl w:val="0"/>
          <w:numId w:val="0"/>
        </w:numPr>
        <w:ind w:left="1170"/>
        <w:rPr>
          <w:lang w:val="en-US"/>
        </w:rPr>
      </w:pPr>
      <w:r>
        <w:rPr>
          <w:lang w:val="en-US"/>
        </w:rPr>
        <w:t>To calculare t</w:t>
      </w:r>
      <w:r w:rsidR="00E6532B" w:rsidRPr="005D209C">
        <w:rPr>
          <w:lang w:val="en-US"/>
        </w:rPr>
        <w:t>he GHG emissions reduced (number of metric tons of CO</w:t>
      </w:r>
      <w:r w:rsidR="00E6532B" w:rsidRPr="004424E9">
        <w:rPr>
          <w:vertAlign w:val="subscript"/>
          <w:lang w:val="en-US"/>
        </w:rPr>
        <w:t>2</w:t>
      </w:r>
      <w:r w:rsidR="00E6532B" w:rsidRPr="005D209C">
        <w:rPr>
          <w:lang w:val="en-US"/>
        </w:rPr>
        <w:t xml:space="preserve"> equivalent emissions averted) by the plants financed by the program</w:t>
      </w:r>
      <w:r>
        <w:rPr>
          <w:lang w:val="en-US"/>
        </w:rPr>
        <w:t>,</w:t>
      </w:r>
      <w:r w:rsidR="00E6532B" w:rsidRPr="005D209C">
        <w:rPr>
          <w:lang w:val="en-US"/>
        </w:rPr>
        <w:t xml:space="preserve"> </w:t>
      </w:r>
      <w:r>
        <w:rPr>
          <w:lang w:val="en-US"/>
        </w:rPr>
        <w:t>e</w:t>
      </w:r>
      <w:r w:rsidR="00EF2452" w:rsidRPr="004424E9">
        <w:rPr>
          <w:lang w:val="en-US"/>
        </w:rPr>
        <w:t xml:space="preserve">stimations </w:t>
      </w:r>
      <w:r w:rsidR="00EF2452">
        <w:rPr>
          <w:lang w:val="en-US"/>
        </w:rPr>
        <w:t xml:space="preserve">will be </w:t>
      </w:r>
      <w:r w:rsidR="00EF2452" w:rsidRPr="004424E9">
        <w:rPr>
          <w:lang w:val="en-US"/>
        </w:rPr>
        <w:t>made using the average emissions factor for electricity in Mexico (0.5 kgCO</w:t>
      </w:r>
      <w:r w:rsidR="00EF2452" w:rsidRPr="004424E9">
        <w:rPr>
          <w:vertAlign w:val="subscript"/>
          <w:lang w:val="en-US"/>
        </w:rPr>
        <w:t>2</w:t>
      </w:r>
      <w:r w:rsidR="00EF2452" w:rsidRPr="004424E9">
        <w:rPr>
          <w:lang w:val="en-US"/>
        </w:rPr>
        <w:t>/kWh) and a 84% load factor</w:t>
      </w:r>
      <w:r>
        <w:rPr>
          <w:lang w:val="en-US"/>
        </w:rPr>
        <w:t xml:space="preserve"> (also average in Mexico)</w:t>
      </w:r>
      <w:r w:rsidR="00EF2452" w:rsidRPr="004424E9">
        <w:rPr>
          <w:lang w:val="en-US"/>
        </w:rPr>
        <w:t>.</w:t>
      </w:r>
      <w:r w:rsidR="00EF2452">
        <w:rPr>
          <w:lang w:val="en-US"/>
        </w:rPr>
        <w:t xml:space="preserve"> The average emissions factor for electricity in Mexico will be validated yearly.</w:t>
      </w:r>
    </w:p>
    <w:p w:rsidR="00582806" w:rsidRPr="005D209C" w:rsidRDefault="00582806" w:rsidP="008D4B06">
      <w:pPr>
        <w:pStyle w:val="AutoNumpara"/>
        <w:numPr>
          <w:ilvl w:val="0"/>
          <w:numId w:val="8"/>
        </w:numPr>
        <w:ind w:left="1170"/>
        <w:rPr>
          <w:b/>
          <w:lang w:val="en-US"/>
        </w:rPr>
      </w:pPr>
      <w:r w:rsidRPr="005D209C">
        <w:rPr>
          <w:b/>
          <w:lang w:val="en-US"/>
        </w:rPr>
        <w:t>Economic return and net present value of benefits</w:t>
      </w:r>
    </w:p>
    <w:p w:rsidR="00E6532B" w:rsidRPr="008D3404" w:rsidRDefault="00582806" w:rsidP="008D3404">
      <w:pPr>
        <w:pStyle w:val="AutoNumpara"/>
        <w:numPr>
          <w:ilvl w:val="0"/>
          <w:numId w:val="0"/>
        </w:numPr>
        <w:ind w:left="1170"/>
        <w:rPr>
          <w:lang w:val="en-US"/>
        </w:rPr>
      </w:pPr>
      <w:r w:rsidRPr="005D209C">
        <w:rPr>
          <w:lang w:val="en-US"/>
        </w:rPr>
        <w:t xml:space="preserve">The results obtained in this analysis are a comparison of the resources used by the </w:t>
      </w:r>
      <w:r w:rsidR="00CD7231" w:rsidRPr="005D209C">
        <w:rPr>
          <w:lang w:val="en-US"/>
        </w:rPr>
        <w:t>Mexican</w:t>
      </w:r>
      <w:r w:rsidRPr="005D209C">
        <w:rPr>
          <w:lang w:val="en-US"/>
        </w:rPr>
        <w:t xml:space="preserve"> economy "with" and "without" program. Based on the costs and benefits identified, the eco</w:t>
      </w:r>
      <w:r w:rsidR="00CD7231" w:rsidRPr="005D209C">
        <w:rPr>
          <w:lang w:val="en-US"/>
        </w:rPr>
        <w:t>nomic internal rate of return (</w:t>
      </w:r>
      <w:r w:rsidRPr="005D209C">
        <w:rPr>
          <w:lang w:val="en-US"/>
        </w:rPr>
        <w:t xml:space="preserve">IRR) is calculated by the program. Similarly, the costs and benefits identified were used to calculate the net present value (NPV) of the </w:t>
      </w:r>
      <w:r w:rsidR="003A240C">
        <w:rPr>
          <w:lang w:val="en-US"/>
        </w:rPr>
        <w:t>program</w:t>
      </w:r>
      <w:r w:rsidRPr="005D209C">
        <w:rPr>
          <w:lang w:val="en-US"/>
        </w:rPr>
        <w:t xml:space="preserve">, using a discount rate of 12% </w:t>
      </w:r>
      <w:r w:rsidR="003A240C">
        <w:rPr>
          <w:lang w:val="en-US"/>
        </w:rPr>
        <w:t>following IDB standards</w:t>
      </w:r>
      <w:r w:rsidRPr="005D209C">
        <w:rPr>
          <w:lang w:val="en-US"/>
        </w:rPr>
        <w:t>.</w:t>
      </w:r>
    </w:p>
    <w:p w:rsidR="008D3404" w:rsidRDefault="008D3404" w:rsidP="008D3404">
      <w:pPr>
        <w:pStyle w:val="AutoNumpara"/>
        <w:rPr>
          <w:lang w:val="en-US"/>
        </w:rPr>
      </w:pPr>
      <w:r w:rsidRPr="00647E73">
        <w:rPr>
          <w:lang w:val="en-US"/>
        </w:rPr>
        <w:t>This method is appropriate because: (i) there</w:t>
      </w:r>
      <w:r>
        <w:rPr>
          <w:lang w:val="en-US"/>
        </w:rPr>
        <w:t xml:space="preserve"> is a </w:t>
      </w:r>
      <w:r w:rsidR="003A240C" w:rsidRPr="00647E73">
        <w:rPr>
          <w:lang w:val="en-US"/>
        </w:rPr>
        <w:t xml:space="preserve">relatively small </w:t>
      </w:r>
      <w:r>
        <w:rPr>
          <w:lang w:val="en-US"/>
        </w:rPr>
        <w:t>population of companies/</w:t>
      </w:r>
      <w:r w:rsidRPr="00647E73">
        <w:rPr>
          <w:lang w:val="en-US"/>
        </w:rPr>
        <w:t xml:space="preserve">developers </w:t>
      </w:r>
      <w:r>
        <w:rPr>
          <w:lang w:val="en-US"/>
        </w:rPr>
        <w:t>in the sector</w:t>
      </w:r>
      <w:r w:rsidRPr="00647E73">
        <w:rPr>
          <w:lang w:val="en-US"/>
        </w:rPr>
        <w:t xml:space="preserve"> (a </w:t>
      </w:r>
      <w:r>
        <w:rPr>
          <w:lang w:val="en-US"/>
        </w:rPr>
        <w:t>clear baseline could be established</w:t>
      </w:r>
      <w:r w:rsidR="00D542A5">
        <w:rPr>
          <w:lang w:val="en-US"/>
        </w:rPr>
        <w:t>), and (</w:t>
      </w:r>
      <w:r w:rsidRPr="00647E73">
        <w:rPr>
          <w:lang w:val="en-US"/>
        </w:rPr>
        <w:t>ii) the availability and robustness of outcome indicators is very high.</w:t>
      </w:r>
    </w:p>
    <w:p w:rsidR="008D3404" w:rsidRDefault="001755EB" w:rsidP="00C85C72">
      <w:pPr>
        <w:pStyle w:val="AutoNumpara"/>
        <w:rPr>
          <w:lang w:val="en-US"/>
        </w:rPr>
      </w:pPr>
      <w:r w:rsidRPr="00FF7E75">
        <w:rPr>
          <w:lang w:val="en-US"/>
        </w:rPr>
        <w:t xml:space="preserve">It </w:t>
      </w:r>
      <w:r w:rsidR="003A240C">
        <w:rPr>
          <w:lang w:val="en-US"/>
        </w:rPr>
        <w:t>will be</w:t>
      </w:r>
      <w:r w:rsidR="003A240C" w:rsidRPr="00FF7E75">
        <w:rPr>
          <w:lang w:val="en-US"/>
        </w:rPr>
        <w:t xml:space="preserve"> </w:t>
      </w:r>
      <w:r w:rsidRPr="00FF7E75">
        <w:rPr>
          <w:lang w:val="en-US"/>
        </w:rPr>
        <w:t xml:space="preserve">the responsibility of the Bank, through </w:t>
      </w:r>
      <w:r w:rsidR="003A240C">
        <w:rPr>
          <w:lang w:val="en-US"/>
        </w:rPr>
        <w:t>its</w:t>
      </w:r>
      <w:r w:rsidR="003A240C" w:rsidRPr="00FF7E75">
        <w:rPr>
          <w:lang w:val="en-US"/>
        </w:rPr>
        <w:t xml:space="preserve"> </w:t>
      </w:r>
      <w:r w:rsidRPr="00FF7E75">
        <w:rPr>
          <w:lang w:val="en-US"/>
        </w:rPr>
        <w:t>Division of Capital Markets and Financial Institutions (</w:t>
      </w:r>
      <w:r w:rsidR="003A240C">
        <w:rPr>
          <w:lang w:val="en-US"/>
        </w:rPr>
        <w:t>IFD/</w:t>
      </w:r>
      <w:r w:rsidRPr="00FF7E75">
        <w:rPr>
          <w:lang w:val="en-US"/>
        </w:rPr>
        <w:t>CMF)</w:t>
      </w:r>
      <w:r w:rsidR="003A240C">
        <w:rPr>
          <w:lang w:val="en-US"/>
        </w:rPr>
        <w:t xml:space="preserve"> and Climate Change and Sustainability (INE/CCS)</w:t>
      </w:r>
      <w:r w:rsidRPr="00FF7E75">
        <w:rPr>
          <w:lang w:val="en-US"/>
        </w:rPr>
        <w:t xml:space="preserve">, </w:t>
      </w:r>
      <w:r w:rsidR="003A240C">
        <w:rPr>
          <w:lang w:val="en-US"/>
        </w:rPr>
        <w:t xml:space="preserve">to supervise the </w:t>
      </w:r>
      <w:r w:rsidR="003A240C" w:rsidRPr="00FF7E75">
        <w:rPr>
          <w:lang w:val="en-US"/>
        </w:rPr>
        <w:t>execution</w:t>
      </w:r>
      <w:r w:rsidR="009A0CC8" w:rsidRPr="00FF7E75">
        <w:rPr>
          <w:lang w:val="en-US"/>
        </w:rPr>
        <w:t xml:space="preserve"> </w:t>
      </w:r>
      <w:r w:rsidR="003A240C">
        <w:rPr>
          <w:lang w:val="en-US"/>
        </w:rPr>
        <w:t xml:space="preserve">of </w:t>
      </w:r>
      <w:r w:rsidRPr="00FF7E75">
        <w:rPr>
          <w:lang w:val="en-US"/>
        </w:rPr>
        <w:t>the ex post cost-</w:t>
      </w:r>
      <w:r w:rsidR="009A0CC8" w:rsidRPr="00FF7E75">
        <w:rPr>
          <w:lang w:val="en-US"/>
        </w:rPr>
        <w:t>benefit</w:t>
      </w:r>
      <w:r w:rsidRPr="00FF7E75">
        <w:rPr>
          <w:lang w:val="en-US"/>
        </w:rPr>
        <w:t xml:space="preserve"> </w:t>
      </w:r>
      <w:r w:rsidR="009A0CC8" w:rsidRPr="00FF7E75">
        <w:rPr>
          <w:lang w:val="en-US"/>
        </w:rPr>
        <w:t xml:space="preserve">analysis from the data collected in </w:t>
      </w:r>
      <w:r w:rsidR="003A240C">
        <w:rPr>
          <w:lang w:val="en-US"/>
        </w:rPr>
        <w:t>accordance with the plan proposed</w:t>
      </w:r>
      <w:r w:rsidR="00FF7E75" w:rsidRPr="00FF7E75">
        <w:rPr>
          <w:lang w:val="en-US"/>
        </w:rPr>
        <w:t>. To this end</w:t>
      </w:r>
      <w:r w:rsidRPr="00FF7E75">
        <w:rPr>
          <w:lang w:val="en-US"/>
        </w:rPr>
        <w:t>, CMF</w:t>
      </w:r>
      <w:r w:rsidR="003A240C">
        <w:rPr>
          <w:lang w:val="en-US"/>
        </w:rPr>
        <w:t xml:space="preserve"> and CCS</w:t>
      </w:r>
      <w:r w:rsidRPr="00FF7E75">
        <w:rPr>
          <w:lang w:val="en-US"/>
        </w:rPr>
        <w:t xml:space="preserve"> </w:t>
      </w:r>
      <w:r w:rsidR="003A240C">
        <w:rPr>
          <w:lang w:val="en-US"/>
        </w:rPr>
        <w:t>will be</w:t>
      </w:r>
      <w:r w:rsidR="003A240C" w:rsidRPr="00FF7E75">
        <w:rPr>
          <w:lang w:val="en-US"/>
        </w:rPr>
        <w:t xml:space="preserve"> </w:t>
      </w:r>
      <w:r w:rsidRPr="00FF7E75">
        <w:rPr>
          <w:lang w:val="en-US"/>
        </w:rPr>
        <w:t>supported by the Division of Energ</w:t>
      </w:r>
      <w:r w:rsidR="00FF7E75" w:rsidRPr="00FF7E75">
        <w:rPr>
          <w:lang w:val="en-US"/>
        </w:rPr>
        <w:t>y (ENE</w:t>
      </w:r>
      <w:r w:rsidRPr="00FF7E75">
        <w:rPr>
          <w:lang w:val="en-US"/>
        </w:rPr>
        <w:t xml:space="preserve">) involved in the </w:t>
      </w:r>
      <w:r w:rsidR="00FF7E75" w:rsidRPr="00FF7E75">
        <w:rPr>
          <w:lang w:val="en-US"/>
        </w:rPr>
        <w:t>operation</w:t>
      </w:r>
      <w:r w:rsidRPr="00FF7E75">
        <w:rPr>
          <w:lang w:val="en-US"/>
        </w:rPr>
        <w:t xml:space="preserve">. It is noteworthy that CMF has a group of specialists focused on carbon finance </w:t>
      </w:r>
      <w:r w:rsidR="00FF7E75" w:rsidRPr="00FF7E75">
        <w:rPr>
          <w:lang w:val="en-US"/>
        </w:rPr>
        <w:t xml:space="preserve">that will </w:t>
      </w:r>
      <w:r w:rsidRPr="00FF7E75">
        <w:rPr>
          <w:lang w:val="en-US"/>
        </w:rPr>
        <w:t xml:space="preserve">underpin the final report. It is </w:t>
      </w:r>
      <w:r w:rsidR="00E91504">
        <w:rPr>
          <w:lang w:val="en-US"/>
        </w:rPr>
        <w:t>expected</w:t>
      </w:r>
      <w:r w:rsidRPr="00FF7E75">
        <w:rPr>
          <w:lang w:val="en-US"/>
        </w:rPr>
        <w:t xml:space="preserve"> that the </w:t>
      </w:r>
      <w:r w:rsidR="00E91504">
        <w:rPr>
          <w:lang w:val="en-US"/>
        </w:rPr>
        <w:t xml:space="preserve">information needed to make such </w:t>
      </w:r>
      <w:r w:rsidR="00E154A1">
        <w:rPr>
          <w:lang w:val="en-US"/>
        </w:rPr>
        <w:t xml:space="preserve">an </w:t>
      </w:r>
      <w:r w:rsidR="00E91504">
        <w:rPr>
          <w:lang w:val="en-US"/>
        </w:rPr>
        <w:t xml:space="preserve">evaluation </w:t>
      </w:r>
      <w:r w:rsidR="00E154A1">
        <w:rPr>
          <w:lang w:val="en-US"/>
        </w:rPr>
        <w:t xml:space="preserve">will be </w:t>
      </w:r>
      <w:r w:rsidR="00E91504">
        <w:rPr>
          <w:lang w:val="en-US"/>
        </w:rPr>
        <w:t>available</w:t>
      </w:r>
      <w:r w:rsidR="00E154A1">
        <w:rPr>
          <w:lang w:val="en-US"/>
        </w:rPr>
        <w:t xml:space="preserve"> from national sources as indicated in Table 3.1</w:t>
      </w:r>
      <w:r w:rsidR="00E91504">
        <w:rPr>
          <w:lang w:val="en-US"/>
        </w:rPr>
        <w:t xml:space="preserve">. </w:t>
      </w:r>
      <w:r w:rsidR="00E154A1">
        <w:rPr>
          <w:lang w:val="en-US"/>
        </w:rPr>
        <w:t>and from</w:t>
      </w:r>
      <w:r w:rsidRPr="00FF7E75">
        <w:rPr>
          <w:lang w:val="en-US"/>
        </w:rPr>
        <w:t xml:space="preserve"> the final report </w:t>
      </w:r>
      <w:r w:rsidR="00E154A1">
        <w:rPr>
          <w:lang w:val="en-US"/>
        </w:rPr>
        <w:t>produced</w:t>
      </w:r>
      <w:r w:rsidR="00C85C72">
        <w:rPr>
          <w:lang w:val="en-US"/>
        </w:rPr>
        <w:t xml:space="preserve"> by NAFIN </w:t>
      </w:r>
      <w:r w:rsidR="00E154A1">
        <w:rPr>
          <w:lang w:val="en-US"/>
        </w:rPr>
        <w:t xml:space="preserve">and </w:t>
      </w:r>
      <w:r w:rsidR="00C85C72">
        <w:rPr>
          <w:lang w:val="en-US"/>
        </w:rPr>
        <w:t>included in the monitoring activities</w:t>
      </w:r>
      <w:r w:rsidRPr="00FF7E75">
        <w:rPr>
          <w:lang w:val="en-US"/>
        </w:rPr>
        <w:t>.</w:t>
      </w:r>
    </w:p>
    <w:p w:rsidR="007666B9" w:rsidRDefault="007666B9" w:rsidP="007666B9">
      <w:pPr>
        <w:pStyle w:val="AutoNumpara"/>
        <w:rPr>
          <w:lang w:val="en-US"/>
        </w:rPr>
      </w:pPr>
      <w:r w:rsidRPr="007666B9">
        <w:rPr>
          <w:b/>
          <w:lang w:val="en-US"/>
        </w:rPr>
        <w:t>Treatment and control groups</w:t>
      </w:r>
      <w:r w:rsidRPr="007666B9">
        <w:rPr>
          <w:lang w:val="en-US"/>
        </w:rPr>
        <w:t>. The selected methodology does not require the assignment of treatment and control groups.</w:t>
      </w:r>
    </w:p>
    <w:p w:rsidR="00796575" w:rsidRDefault="00E079A5" w:rsidP="00E079A5">
      <w:pPr>
        <w:pStyle w:val="AutoNumpara"/>
        <w:rPr>
          <w:lang w:val="en-US"/>
        </w:rPr>
      </w:pPr>
      <w:r w:rsidRPr="00E079A5">
        <w:rPr>
          <w:b/>
          <w:lang w:val="en-US"/>
        </w:rPr>
        <w:t>Data collection</w:t>
      </w:r>
      <w:r w:rsidRPr="00E079A5">
        <w:rPr>
          <w:lang w:val="en-US"/>
        </w:rPr>
        <w:t>. NAFIN will collect the necessary data from the information sources as indicated in Table 3.1, and by submitting annual reports to the IDB. Information systems a</w:t>
      </w:r>
      <w:r>
        <w:rPr>
          <w:lang w:val="en-US"/>
        </w:rPr>
        <w:t>nd existing databases in NAFIN</w:t>
      </w:r>
      <w:r w:rsidRPr="00E079A5">
        <w:rPr>
          <w:lang w:val="en-US"/>
        </w:rPr>
        <w:t>, the CRE and CFE, among others, are considered sufficient to monitor the</w:t>
      </w:r>
      <w:r w:rsidR="00E154A1">
        <w:rPr>
          <w:lang w:val="en-US"/>
        </w:rPr>
        <w:t xml:space="preserve"> proposed</w:t>
      </w:r>
      <w:r w:rsidRPr="00E079A5">
        <w:rPr>
          <w:lang w:val="en-US"/>
        </w:rPr>
        <w:t xml:space="preserve"> indicators. Institutions related to the energy sector in Mexico have extensive information that can serve the purpose</w:t>
      </w:r>
      <w:r w:rsidR="00820556">
        <w:rPr>
          <w:lang w:val="en-US"/>
        </w:rPr>
        <w:t xml:space="preserve"> of the proposed assessment,</w:t>
      </w:r>
      <w:r w:rsidRPr="00E079A5">
        <w:rPr>
          <w:lang w:val="en-US"/>
        </w:rPr>
        <w:t xml:space="preserve"> a</w:t>
      </w:r>
      <w:r w:rsidR="00820556">
        <w:rPr>
          <w:lang w:val="en-US"/>
        </w:rPr>
        <w:t>s well as a</w:t>
      </w:r>
      <w:r w:rsidRPr="00E079A5">
        <w:rPr>
          <w:lang w:val="en-US"/>
        </w:rPr>
        <w:t xml:space="preserve"> clear commitment to making this information </w:t>
      </w:r>
      <w:r w:rsidR="00E154A1" w:rsidRPr="00E079A5">
        <w:rPr>
          <w:lang w:val="en-US"/>
        </w:rPr>
        <w:t xml:space="preserve">public </w:t>
      </w:r>
      <w:r w:rsidRPr="00E079A5">
        <w:rPr>
          <w:lang w:val="en-US"/>
        </w:rPr>
        <w:t>and use it for the purpose of improving and developing the initiatives planned for the future.</w:t>
      </w:r>
    </w:p>
    <w:p w:rsidR="00DB4181" w:rsidRDefault="00DB4181" w:rsidP="00DB4181">
      <w:pPr>
        <w:pStyle w:val="AutoNumpara"/>
        <w:rPr>
          <w:lang w:val="en-US"/>
        </w:rPr>
      </w:pPr>
      <w:r w:rsidRPr="00DB4181">
        <w:rPr>
          <w:lang w:val="en-US"/>
        </w:rPr>
        <w:t xml:space="preserve">The </w:t>
      </w:r>
      <w:r w:rsidR="00E154A1">
        <w:rPr>
          <w:lang w:val="en-US"/>
        </w:rPr>
        <w:t>DOFI at NAFIN</w:t>
      </w:r>
      <w:r w:rsidRPr="00DB4181">
        <w:rPr>
          <w:lang w:val="en-US"/>
        </w:rPr>
        <w:t xml:space="preserve"> has access and regular contact with managers of external sources of information, in addition to </w:t>
      </w:r>
      <w:r w:rsidR="00E16BB9">
        <w:rPr>
          <w:lang w:val="en-US"/>
        </w:rPr>
        <w:t>rigorous</w:t>
      </w:r>
      <w:r w:rsidRPr="00DB4181">
        <w:rPr>
          <w:lang w:val="en-US"/>
        </w:rPr>
        <w:t xml:space="preserve"> information requirements for evaluating projects that apply for funding with program resources, so it is expected that this </w:t>
      </w:r>
      <w:r w:rsidR="00E154A1">
        <w:rPr>
          <w:lang w:val="en-US"/>
        </w:rPr>
        <w:t xml:space="preserve">will </w:t>
      </w:r>
      <w:r w:rsidRPr="00DB4181">
        <w:rPr>
          <w:lang w:val="en-US"/>
        </w:rPr>
        <w:t xml:space="preserve">facilitate </w:t>
      </w:r>
      <w:r w:rsidR="00E154A1">
        <w:rPr>
          <w:lang w:val="en-US"/>
        </w:rPr>
        <w:t xml:space="preserve">the proposed </w:t>
      </w:r>
      <w:r w:rsidRPr="00DB4181">
        <w:rPr>
          <w:lang w:val="en-US"/>
        </w:rPr>
        <w:t xml:space="preserve">analysis of the impact of the program. The </w:t>
      </w:r>
      <w:r w:rsidR="00E154A1">
        <w:rPr>
          <w:lang w:val="en-US"/>
        </w:rPr>
        <w:t>DOFI will</w:t>
      </w:r>
      <w:r w:rsidRPr="00DB4181">
        <w:rPr>
          <w:lang w:val="en-US"/>
        </w:rPr>
        <w:t xml:space="preserve"> act as coordinator in the preparation of reports and liaison with the Bank.</w:t>
      </w:r>
    </w:p>
    <w:p w:rsidR="00DB4181" w:rsidRDefault="00DB4181" w:rsidP="00DB4181">
      <w:pPr>
        <w:pStyle w:val="AutoNumpara"/>
        <w:rPr>
          <w:lang w:val="en-US"/>
        </w:rPr>
      </w:pPr>
      <w:r w:rsidRPr="00DB4181">
        <w:rPr>
          <w:lang w:val="en-US"/>
        </w:rPr>
        <w:t xml:space="preserve">NAFIN </w:t>
      </w:r>
      <w:r w:rsidR="00E16BB9">
        <w:rPr>
          <w:lang w:val="en-US"/>
        </w:rPr>
        <w:t>makes</w:t>
      </w:r>
      <w:r w:rsidRPr="00DB4181">
        <w:rPr>
          <w:lang w:val="en-US"/>
        </w:rPr>
        <w:t xml:space="preserve"> systematic field visits to monitor the risk and monitor their financing programs</w:t>
      </w:r>
      <w:r w:rsidR="00E154A1">
        <w:rPr>
          <w:lang w:val="en-US"/>
        </w:rPr>
        <w:t>. Supervision visits are also carried out by Bank’s staff members, an activity that is included in this monitoring and evaluation plan</w:t>
      </w:r>
      <w:r w:rsidRPr="00DB4181">
        <w:rPr>
          <w:lang w:val="en-US"/>
        </w:rPr>
        <w:t xml:space="preserve">. </w:t>
      </w:r>
    </w:p>
    <w:p w:rsidR="00CD7231" w:rsidRPr="004424E9" w:rsidRDefault="001A7E25" w:rsidP="00E803EF">
      <w:pPr>
        <w:pStyle w:val="ListParagraph"/>
        <w:numPr>
          <w:ilvl w:val="0"/>
          <w:numId w:val="45"/>
        </w:numPr>
        <w:tabs>
          <w:tab w:val="left" w:pos="1440"/>
          <w:tab w:val="left" w:pos="3060"/>
        </w:tabs>
        <w:spacing w:before="240" w:after="120"/>
        <w:ind w:left="360"/>
        <w:outlineLvl w:val="0"/>
        <w:rPr>
          <w:rFonts w:ascii="Times New Roman Bold" w:hAnsi="Times New Roman Bold" w:cs="Times New Roman"/>
          <w:b/>
          <w:smallCaps/>
          <w:noProof/>
          <w:sz w:val="28"/>
          <w:szCs w:val="28"/>
        </w:rPr>
      </w:pPr>
      <w:bookmarkStart w:id="34" w:name="_Toc375150067"/>
      <w:r w:rsidRPr="004424E9">
        <w:rPr>
          <w:rFonts w:ascii="Times New Roman Bold" w:hAnsi="Times New Roman Bold" w:cs="Times New Roman"/>
          <w:b/>
          <w:smallCaps/>
          <w:noProof/>
          <w:sz w:val="28"/>
          <w:szCs w:val="28"/>
        </w:rPr>
        <w:t>Technical Aspects of Selected Methology</w:t>
      </w:r>
      <w:bookmarkEnd w:id="34"/>
    </w:p>
    <w:p w:rsidR="00CD7231" w:rsidRPr="00CD7231" w:rsidRDefault="00E154A1" w:rsidP="00CD7231">
      <w:pPr>
        <w:pStyle w:val="AutoNumpara"/>
        <w:rPr>
          <w:lang w:val="en-US"/>
        </w:rPr>
      </w:pPr>
      <w:r>
        <w:rPr>
          <w:lang w:val="en-US"/>
        </w:rPr>
        <w:t>T</w:t>
      </w:r>
      <w:r w:rsidR="00CD7231" w:rsidRPr="00CD7231">
        <w:rPr>
          <w:lang w:val="en-US"/>
        </w:rPr>
        <w:t xml:space="preserve">he </w:t>
      </w:r>
      <w:r>
        <w:rPr>
          <w:lang w:val="en-US"/>
        </w:rPr>
        <w:t xml:space="preserve">execution of an </w:t>
      </w:r>
      <w:r w:rsidR="00CD7231" w:rsidRPr="00CD7231">
        <w:rPr>
          <w:lang w:val="en-US"/>
        </w:rPr>
        <w:t xml:space="preserve">ex-post </w:t>
      </w:r>
      <w:r>
        <w:rPr>
          <w:lang w:val="en-US"/>
        </w:rPr>
        <w:t xml:space="preserve">cost benefit </w:t>
      </w:r>
      <w:r w:rsidR="00CD7231" w:rsidRPr="00CD7231">
        <w:rPr>
          <w:lang w:val="en-US"/>
        </w:rPr>
        <w:t>analysis</w:t>
      </w:r>
      <w:r>
        <w:rPr>
          <w:lang w:val="en-US"/>
        </w:rPr>
        <w:t xml:space="preserve"> is linked to the datta collection of indicators set out in the monitoring work plan. For the methodology to be effective</w:t>
      </w:r>
      <w:r w:rsidR="00CD7231" w:rsidRPr="00CD7231">
        <w:rPr>
          <w:lang w:val="en-US"/>
        </w:rPr>
        <w:t xml:space="preserve"> </w:t>
      </w:r>
      <w:r>
        <w:rPr>
          <w:lang w:val="en-US"/>
        </w:rPr>
        <w:t xml:space="preserve">it </w:t>
      </w:r>
      <w:r w:rsidR="00CD7231" w:rsidRPr="00CD7231">
        <w:rPr>
          <w:lang w:val="en-US"/>
        </w:rPr>
        <w:t xml:space="preserve">is </w:t>
      </w:r>
      <w:r>
        <w:rPr>
          <w:lang w:val="en-US"/>
        </w:rPr>
        <w:t>key</w:t>
      </w:r>
      <w:r w:rsidRPr="00CD7231">
        <w:rPr>
          <w:lang w:val="en-US"/>
        </w:rPr>
        <w:t xml:space="preserve"> </w:t>
      </w:r>
      <w:r w:rsidR="00CD7231" w:rsidRPr="00CD7231">
        <w:rPr>
          <w:lang w:val="en-US"/>
        </w:rPr>
        <w:t xml:space="preserve">to have the information gathered </w:t>
      </w:r>
      <w:r w:rsidR="00C54AA7">
        <w:rPr>
          <w:lang w:val="en-US"/>
        </w:rPr>
        <w:t>for the</w:t>
      </w:r>
      <w:r w:rsidR="00C54AA7" w:rsidRPr="00CD7231">
        <w:rPr>
          <w:lang w:val="en-US"/>
        </w:rPr>
        <w:t xml:space="preserve"> </w:t>
      </w:r>
      <w:r w:rsidR="00CD7231" w:rsidRPr="00CD7231">
        <w:rPr>
          <w:lang w:val="en-US"/>
        </w:rPr>
        <w:t>monitoring indicators concerning the results matrix</w:t>
      </w:r>
      <w:r w:rsidR="00C54AA7">
        <w:rPr>
          <w:lang w:val="en-US"/>
        </w:rPr>
        <w:t xml:space="preserve"> (see Table 3.1)</w:t>
      </w:r>
      <w:r w:rsidR="00CD7231" w:rsidRPr="00CD7231">
        <w:rPr>
          <w:lang w:val="en-US"/>
        </w:rPr>
        <w:t xml:space="preserve">. </w:t>
      </w:r>
    </w:p>
    <w:p w:rsidR="009A3D7F" w:rsidRPr="004424E9" w:rsidRDefault="001A7E25" w:rsidP="00E803EF">
      <w:pPr>
        <w:pStyle w:val="ListParagraph"/>
        <w:numPr>
          <w:ilvl w:val="0"/>
          <w:numId w:val="45"/>
        </w:numPr>
        <w:tabs>
          <w:tab w:val="left" w:pos="1440"/>
          <w:tab w:val="left" w:pos="3060"/>
        </w:tabs>
        <w:spacing w:after="120"/>
        <w:ind w:left="360"/>
        <w:outlineLvl w:val="0"/>
        <w:rPr>
          <w:rFonts w:ascii="Times New Roman Bold" w:hAnsi="Times New Roman Bold" w:cs="Times New Roman"/>
          <w:b/>
          <w:smallCaps/>
          <w:noProof/>
          <w:sz w:val="28"/>
          <w:szCs w:val="28"/>
        </w:rPr>
      </w:pPr>
      <w:bookmarkStart w:id="35" w:name="_Toc375150068"/>
      <w:r w:rsidRPr="004424E9">
        <w:rPr>
          <w:rFonts w:ascii="Times New Roman Bold" w:hAnsi="Times New Roman Bold" w:cs="Times New Roman"/>
          <w:b/>
          <w:smallCaps/>
          <w:noProof/>
          <w:sz w:val="28"/>
          <w:szCs w:val="28"/>
        </w:rPr>
        <w:t>Reporting Evaluation Results</w:t>
      </w:r>
      <w:bookmarkEnd w:id="35"/>
    </w:p>
    <w:p w:rsidR="00E16BB9" w:rsidRPr="00E16BB9" w:rsidRDefault="0020225D" w:rsidP="00E16BB9">
      <w:pPr>
        <w:pStyle w:val="AutoNumpara"/>
        <w:rPr>
          <w:lang w:val="en-US"/>
        </w:rPr>
      </w:pPr>
      <w:r w:rsidRPr="0020225D">
        <w:rPr>
          <w:lang w:val="en-US"/>
        </w:rPr>
        <w:t xml:space="preserve">The </w:t>
      </w:r>
      <w:r w:rsidR="00C54AA7">
        <w:rPr>
          <w:lang w:val="en-US"/>
        </w:rPr>
        <w:t>DOFI</w:t>
      </w:r>
      <w:r w:rsidRPr="0020225D">
        <w:rPr>
          <w:lang w:val="en-US"/>
        </w:rPr>
        <w:t xml:space="preserve">, in </w:t>
      </w:r>
      <w:r w:rsidR="00C54AA7">
        <w:rPr>
          <w:lang w:val="en-US"/>
        </w:rPr>
        <w:t>its</w:t>
      </w:r>
      <w:r w:rsidR="00C54AA7" w:rsidRPr="0020225D">
        <w:rPr>
          <w:lang w:val="en-US"/>
        </w:rPr>
        <w:t xml:space="preserve"> </w:t>
      </w:r>
      <w:r w:rsidRPr="0020225D">
        <w:rPr>
          <w:lang w:val="en-US"/>
        </w:rPr>
        <w:t>capacity as Project Coordination Unit, will act as coordinator in the preparation of reports and liaison with the Bank.</w:t>
      </w:r>
      <w:r w:rsidR="00E16BB9">
        <w:rPr>
          <w:lang w:val="en-US"/>
        </w:rPr>
        <w:t xml:space="preserve"> </w:t>
      </w:r>
    </w:p>
    <w:p w:rsidR="009A3D7F" w:rsidRPr="001A0D09" w:rsidRDefault="001A0D09" w:rsidP="001A0D09">
      <w:pPr>
        <w:pStyle w:val="AutoNumpara"/>
        <w:rPr>
          <w:lang w:val="en-US"/>
        </w:rPr>
      </w:pPr>
      <w:r>
        <w:rPr>
          <w:szCs w:val="24"/>
          <w:lang w:val="en-US"/>
        </w:rPr>
        <w:t>NAFIN</w:t>
      </w:r>
      <w:r w:rsidR="009A3D7F" w:rsidRPr="00CD7231">
        <w:rPr>
          <w:szCs w:val="24"/>
          <w:lang w:val="en-US"/>
        </w:rPr>
        <w:t xml:space="preserve"> will report to IDB through annual reports on the defined indicators and in the detailed performance of the program. Based on the conclusions of these reports, </w:t>
      </w:r>
      <w:r>
        <w:rPr>
          <w:szCs w:val="24"/>
          <w:lang w:val="en-US"/>
        </w:rPr>
        <w:t>NAFIN</w:t>
      </w:r>
      <w:r w:rsidR="009A3D7F" w:rsidRPr="00CD7231">
        <w:rPr>
          <w:szCs w:val="24"/>
          <w:lang w:val="en-US"/>
        </w:rPr>
        <w:t xml:space="preserve"> and IDB could introduce adjustments to the </w:t>
      </w:r>
      <w:r w:rsidR="00C54AA7">
        <w:rPr>
          <w:szCs w:val="24"/>
          <w:lang w:val="en-US"/>
        </w:rPr>
        <w:t>p</w:t>
      </w:r>
      <w:r w:rsidR="009A3D7F" w:rsidRPr="00CD7231">
        <w:rPr>
          <w:szCs w:val="24"/>
          <w:lang w:val="en-US"/>
        </w:rPr>
        <w:t xml:space="preserve">rogram. The executing agency will deliver the reports within 60 calendar days after the end of each year of the </w:t>
      </w:r>
      <w:r w:rsidR="00C54AA7">
        <w:rPr>
          <w:szCs w:val="24"/>
          <w:lang w:val="en-US"/>
        </w:rPr>
        <w:t>p</w:t>
      </w:r>
      <w:r w:rsidR="009A3D7F" w:rsidRPr="00CD7231">
        <w:rPr>
          <w:szCs w:val="24"/>
          <w:lang w:val="en-US"/>
        </w:rPr>
        <w:t>rogram’s implementation. The reports will include information regarding the evolution of the evaluation indicators</w:t>
      </w:r>
      <w:r w:rsidR="00C54AA7">
        <w:rPr>
          <w:szCs w:val="24"/>
          <w:lang w:val="en-US"/>
        </w:rPr>
        <w:t xml:space="preserve"> as well as any other information considered relevant to the performance of the program</w:t>
      </w:r>
      <w:r w:rsidR="009A3D7F" w:rsidRPr="00CD7231">
        <w:rPr>
          <w:szCs w:val="24"/>
          <w:lang w:val="en-US"/>
        </w:rPr>
        <w:t>. The Bank will be entitled to request additional information, if necessary.</w:t>
      </w:r>
    </w:p>
    <w:p w:rsidR="00CA7693" w:rsidRPr="004424E9" w:rsidRDefault="001C2BFE" w:rsidP="00E803EF">
      <w:pPr>
        <w:pStyle w:val="ListParagraph"/>
        <w:numPr>
          <w:ilvl w:val="0"/>
          <w:numId w:val="45"/>
        </w:numPr>
        <w:tabs>
          <w:tab w:val="left" w:pos="1440"/>
          <w:tab w:val="left" w:pos="3060"/>
        </w:tabs>
        <w:spacing w:after="120"/>
        <w:ind w:left="360"/>
        <w:outlineLvl w:val="0"/>
        <w:rPr>
          <w:rFonts w:ascii="Times New Roman Bold" w:hAnsi="Times New Roman Bold" w:cs="Times New Roman"/>
          <w:b/>
          <w:smallCaps/>
          <w:noProof/>
          <w:sz w:val="28"/>
          <w:szCs w:val="28"/>
        </w:rPr>
      </w:pPr>
      <w:r w:rsidRPr="004424E9">
        <w:rPr>
          <w:rFonts w:ascii="Times New Roman Bold" w:hAnsi="Times New Roman Bold" w:cs="Times New Roman"/>
          <w:b/>
          <w:smallCaps/>
          <w:noProof/>
          <w:sz w:val="28"/>
          <w:szCs w:val="28"/>
        </w:rPr>
        <w:t>Complementary evaluation (optional)</w:t>
      </w:r>
    </w:p>
    <w:p w:rsidR="00CA7693" w:rsidRDefault="00CA7693" w:rsidP="00CD7231">
      <w:pPr>
        <w:pStyle w:val="AutoNumpara"/>
        <w:rPr>
          <w:szCs w:val="24"/>
          <w:lang w:val="en-US"/>
        </w:rPr>
      </w:pPr>
      <w:r w:rsidRPr="00CD7231">
        <w:rPr>
          <w:szCs w:val="24"/>
          <w:lang w:val="en-US"/>
        </w:rPr>
        <w:t xml:space="preserve">Besides the annual reports and the scheduled contacts for monitoring of the operations carried out </w:t>
      </w:r>
      <w:r w:rsidR="005E6AAD">
        <w:rPr>
          <w:szCs w:val="24"/>
          <w:lang w:val="en-US"/>
        </w:rPr>
        <w:t>under</w:t>
      </w:r>
      <w:r w:rsidR="005E6AAD" w:rsidRPr="00CD7231">
        <w:rPr>
          <w:szCs w:val="24"/>
          <w:lang w:val="en-US"/>
        </w:rPr>
        <w:t xml:space="preserve"> </w:t>
      </w:r>
      <w:r w:rsidRPr="00CD7231">
        <w:rPr>
          <w:szCs w:val="24"/>
          <w:lang w:val="en-US"/>
        </w:rPr>
        <w:t xml:space="preserve">the </w:t>
      </w:r>
      <w:r w:rsidR="005E6AAD">
        <w:rPr>
          <w:szCs w:val="24"/>
          <w:lang w:val="en-US"/>
        </w:rPr>
        <w:t>program</w:t>
      </w:r>
      <w:r w:rsidRPr="00CD7231">
        <w:rPr>
          <w:szCs w:val="24"/>
          <w:lang w:val="en-US"/>
        </w:rPr>
        <w:t>, the borrower and the Bank will conduc</w:t>
      </w:r>
      <w:r w:rsidR="001A0D09">
        <w:rPr>
          <w:szCs w:val="24"/>
          <w:lang w:val="en-US"/>
        </w:rPr>
        <w:t xml:space="preserve">t a midterm evaluation within </w:t>
      </w:r>
      <w:r w:rsidR="005E6AAD">
        <w:rPr>
          <w:szCs w:val="24"/>
          <w:lang w:val="en-US"/>
        </w:rPr>
        <w:t>3</w:t>
      </w:r>
      <w:r w:rsidR="006F2674">
        <w:rPr>
          <w:szCs w:val="24"/>
          <w:lang w:val="en-US"/>
        </w:rPr>
        <w:t>6</w:t>
      </w:r>
      <w:r w:rsidRPr="00CD7231">
        <w:rPr>
          <w:szCs w:val="24"/>
          <w:lang w:val="en-US"/>
        </w:rPr>
        <w:t xml:space="preserve"> months from the date of the first disbursement of financing. The evaluation will assess progress in accomplishing program objectives and outcomes based on the Results Matrix</w:t>
      </w:r>
      <w:r w:rsidR="005E6AAD">
        <w:rPr>
          <w:szCs w:val="24"/>
          <w:lang w:val="en-US"/>
        </w:rPr>
        <w:t>,</w:t>
      </w:r>
      <w:r w:rsidRPr="00CD7231">
        <w:rPr>
          <w:szCs w:val="24"/>
          <w:lang w:val="en-US"/>
        </w:rPr>
        <w:t xml:space="preserve"> in order to identify any corrective action required.</w:t>
      </w:r>
    </w:p>
    <w:p w:rsidR="00CA7693" w:rsidRPr="00CD7231" w:rsidRDefault="00CA7693" w:rsidP="00CD7231">
      <w:pPr>
        <w:pStyle w:val="AutoNumpara"/>
        <w:rPr>
          <w:szCs w:val="24"/>
          <w:lang w:val="en-US"/>
        </w:rPr>
      </w:pPr>
      <w:r w:rsidRPr="00CD7231">
        <w:rPr>
          <w:szCs w:val="24"/>
          <w:lang w:val="en-US"/>
        </w:rPr>
        <w:t xml:space="preserve">An extended project monitoring report (XPMR) and a Project </w:t>
      </w:r>
      <w:r w:rsidR="005E6AAD">
        <w:rPr>
          <w:szCs w:val="24"/>
          <w:lang w:val="en-US"/>
        </w:rPr>
        <w:t>Completion</w:t>
      </w:r>
      <w:r w:rsidR="005E6AAD" w:rsidRPr="00CD7231">
        <w:rPr>
          <w:szCs w:val="24"/>
          <w:lang w:val="en-US"/>
        </w:rPr>
        <w:t xml:space="preserve"> </w:t>
      </w:r>
      <w:r w:rsidRPr="00CD7231">
        <w:rPr>
          <w:szCs w:val="24"/>
          <w:lang w:val="en-US"/>
        </w:rPr>
        <w:t>Report (P</w:t>
      </w:r>
      <w:r w:rsidR="005E6AAD">
        <w:rPr>
          <w:szCs w:val="24"/>
          <w:lang w:val="en-US"/>
        </w:rPr>
        <w:t>C</w:t>
      </w:r>
      <w:r w:rsidRPr="00CD7231">
        <w:rPr>
          <w:szCs w:val="24"/>
          <w:lang w:val="en-US"/>
        </w:rPr>
        <w:t xml:space="preserve">R) have been planned, to be carried out six months after the disbursement conditions for the last operation </w:t>
      </w:r>
      <w:r w:rsidR="005E6AAD">
        <w:rPr>
          <w:szCs w:val="24"/>
          <w:lang w:val="en-US"/>
        </w:rPr>
        <w:t>under the program</w:t>
      </w:r>
      <w:r w:rsidRPr="00CD7231">
        <w:rPr>
          <w:szCs w:val="24"/>
          <w:lang w:val="en-US"/>
        </w:rPr>
        <w:t xml:space="preserve"> have been met. The P</w:t>
      </w:r>
      <w:r w:rsidR="005E6AAD">
        <w:rPr>
          <w:szCs w:val="24"/>
          <w:lang w:val="en-US"/>
        </w:rPr>
        <w:t>C</w:t>
      </w:r>
      <w:r w:rsidRPr="00CD7231">
        <w:rPr>
          <w:szCs w:val="24"/>
          <w:lang w:val="en-US"/>
        </w:rPr>
        <w:t xml:space="preserve">R will evaluate the fulfillment of targets and review the </w:t>
      </w:r>
      <w:r w:rsidR="005E6AAD">
        <w:rPr>
          <w:szCs w:val="24"/>
          <w:lang w:val="en-US"/>
        </w:rPr>
        <w:t>results</w:t>
      </w:r>
      <w:r w:rsidR="005E6AAD" w:rsidRPr="00CD7231">
        <w:rPr>
          <w:szCs w:val="24"/>
          <w:lang w:val="en-US"/>
        </w:rPr>
        <w:t xml:space="preserve"> </w:t>
      </w:r>
      <w:r w:rsidRPr="00CD7231">
        <w:rPr>
          <w:szCs w:val="24"/>
          <w:lang w:val="en-US"/>
        </w:rPr>
        <w:t xml:space="preserve">of the operation. The assumptions in the Results Matrix will be taken into consideration as well as the methodology explained in </w:t>
      </w:r>
      <w:r w:rsidR="005E6AAD">
        <w:rPr>
          <w:szCs w:val="24"/>
          <w:lang w:val="en-US"/>
        </w:rPr>
        <w:t>this document</w:t>
      </w:r>
      <w:r w:rsidRPr="00CD7231">
        <w:rPr>
          <w:szCs w:val="24"/>
          <w:lang w:val="en-US"/>
        </w:rPr>
        <w:t xml:space="preserve">. </w:t>
      </w:r>
    </w:p>
    <w:p w:rsidR="009A3D7F" w:rsidRPr="004424E9" w:rsidRDefault="001A7E25" w:rsidP="00E803EF">
      <w:pPr>
        <w:pStyle w:val="ListParagraph"/>
        <w:numPr>
          <w:ilvl w:val="0"/>
          <w:numId w:val="45"/>
        </w:numPr>
        <w:tabs>
          <w:tab w:val="left" w:pos="1440"/>
          <w:tab w:val="left" w:pos="3060"/>
        </w:tabs>
        <w:spacing w:after="120"/>
        <w:ind w:left="360"/>
        <w:outlineLvl w:val="0"/>
        <w:rPr>
          <w:rFonts w:ascii="Times New Roman Bold" w:hAnsi="Times New Roman Bold" w:cs="Times New Roman"/>
          <w:b/>
          <w:smallCaps/>
          <w:noProof/>
          <w:sz w:val="28"/>
          <w:szCs w:val="28"/>
        </w:rPr>
      </w:pPr>
      <w:bookmarkStart w:id="36" w:name="_Toc375150070"/>
      <w:r w:rsidRPr="004424E9">
        <w:rPr>
          <w:rFonts w:ascii="Times New Roman Bold" w:hAnsi="Times New Roman Bold" w:cs="Times New Roman"/>
          <w:b/>
          <w:smallCaps/>
          <w:noProof/>
          <w:sz w:val="28"/>
          <w:szCs w:val="28"/>
        </w:rPr>
        <w:t>Evaluation Coordination, Work Plan and Budget</w:t>
      </w:r>
      <w:bookmarkEnd w:id="36"/>
    </w:p>
    <w:p w:rsidR="009A3D7F" w:rsidRDefault="00977678" w:rsidP="00CD7231">
      <w:pPr>
        <w:pStyle w:val="AutoNumpara"/>
        <w:rPr>
          <w:szCs w:val="24"/>
          <w:lang w:val="en-US"/>
        </w:rPr>
      </w:pPr>
      <w:r>
        <w:rPr>
          <w:szCs w:val="24"/>
          <w:lang w:val="en-US"/>
        </w:rPr>
        <w:t>NAFIN</w:t>
      </w:r>
      <w:r w:rsidR="009A3D7F" w:rsidRPr="00CD7231">
        <w:rPr>
          <w:szCs w:val="24"/>
          <w:lang w:val="en-US"/>
        </w:rPr>
        <w:t xml:space="preserve"> will be responsible for the supervision</w:t>
      </w:r>
      <w:r w:rsidR="00611794">
        <w:rPr>
          <w:szCs w:val="24"/>
          <w:lang w:val="en-US"/>
        </w:rPr>
        <w:t>,</w:t>
      </w:r>
      <w:r w:rsidR="009A3D7F" w:rsidRPr="00CD7231">
        <w:rPr>
          <w:szCs w:val="24"/>
          <w:lang w:val="en-US"/>
        </w:rPr>
        <w:t xml:space="preserve"> technical and administrative coordination of the </w:t>
      </w:r>
      <w:r w:rsidR="005E6AAD">
        <w:rPr>
          <w:szCs w:val="24"/>
          <w:lang w:val="en-US"/>
        </w:rPr>
        <w:t>p</w:t>
      </w:r>
      <w:r w:rsidR="009A3D7F" w:rsidRPr="00CD7231">
        <w:rPr>
          <w:szCs w:val="24"/>
          <w:lang w:val="en-US"/>
        </w:rPr>
        <w:t>rogram and perform the necessary reporting duties to the Bank.</w:t>
      </w:r>
      <w:r w:rsidR="00D85573">
        <w:rPr>
          <w:szCs w:val="24"/>
          <w:lang w:val="en-US"/>
        </w:rPr>
        <w:t xml:space="preserve"> </w:t>
      </w:r>
    </w:p>
    <w:p w:rsidR="00D85573" w:rsidRDefault="00D85573" w:rsidP="00CD7231">
      <w:pPr>
        <w:pStyle w:val="AutoNumpara"/>
        <w:rPr>
          <w:szCs w:val="24"/>
          <w:lang w:val="en-US"/>
        </w:rPr>
      </w:pPr>
      <w:r w:rsidRPr="00E16BB9">
        <w:rPr>
          <w:lang w:val="en-US"/>
        </w:rPr>
        <w:t xml:space="preserve">For the implementation of this assessment, it is expected that NAFIN </w:t>
      </w:r>
      <w:r w:rsidR="005E6AAD">
        <w:rPr>
          <w:lang w:val="en-US"/>
        </w:rPr>
        <w:t xml:space="preserve">will </w:t>
      </w:r>
      <w:r w:rsidRPr="00E16BB9">
        <w:rPr>
          <w:lang w:val="en-US"/>
        </w:rPr>
        <w:t xml:space="preserve">use </w:t>
      </w:r>
      <w:r w:rsidR="005E6AAD">
        <w:rPr>
          <w:lang w:val="en-US"/>
        </w:rPr>
        <w:t xml:space="preserve">its </w:t>
      </w:r>
      <w:r w:rsidRPr="00E16BB9">
        <w:rPr>
          <w:lang w:val="en-US"/>
        </w:rPr>
        <w:t xml:space="preserve">own </w:t>
      </w:r>
      <w:r w:rsidR="005E6AAD">
        <w:rPr>
          <w:lang w:val="en-US"/>
        </w:rPr>
        <w:t>staff</w:t>
      </w:r>
      <w:r w:rsidRPr="00E16BB9">
        <w:rPr>
          <w:lang w:val="en-US"/>
        </w:rPr>
        <w:t>,</w:t>
      </w:r>
      <w:r w:rsidR="005E6AAD">
        <w:rPr>
          <w:lang w:val="en-US"/>
        </w:rPr>
        <w:t xml:space="preserve"> with the supervision of the IDB,</w:t>
      </w:r>
      <w:r w:rsidRPr="00E16BB9">
        <w:rPr>
          <w:lang w:val="en-US"/>
        </w:rPr>
        <w:t xml:space="preserve"> which are considered adequate and sufficient to ensure the quality and success of the evaluation work</w:t>
      </w:r>
      <w:r w:rsidR="005E6AAD">
        <w:rPr>
          <w:lang w:val="en-US"/>
        </w:rPr>
        <w:t>. For activities that require additional expertise, consultancy services may be hired by NAFIN or the IDB (see Table 3.2)</w:t>
      </w:r>
      <w:r w:rsidRPr="00E16BB9">
        <w:rPr>
          <w:lang w:val="en-US"/>
        </w:rPr>
        <w:t>.</w:t>
      </w:r>
    </w:p>
    <w:p w:rsidR="009A3D7F" w:rsidRPr="002F7446" w:rsidRDefault="009A3D7F" w:rsidP="009A3D7F">
      <w:pPr>
        <w:pStyle w:val="AutoNumpara"/>
        <w:rPr>
          <w:szCs w:val="24"/>
          <w:lang w:val="en-US"/>
        </w:rPr>
      </w:pPr>
      <w:r w:rsidRPr="00CD7231">
        <w:rPr>
          <w:lang w:val="en-US"/>
        </w:rPr>
        <w:t>The borrower and the Bank will conduc</w:t>
      </w:r>
      <w:r w:rsidR="00DB6447">
        <w:rPr>
          <w:lang w:val="en-US"/>
        </w:rPr>
        <w:t xml:space="preserve">t a midterm evaluation within </w:t>
      </w:r>
      <w:r w:rsidR="005E6AAD">
        <w:rPr>
          <w:lang w:val="en-US"/>
        </w:rPr>
        <w:t>3</w:t>
      </w:r>
      <w:r w:rsidR="006F2674">
        <w:rPr>
          <w:lang w:val="en-US"/>
        </w:rPr>
        <w:t>6</w:t>
      </w:r>
      <w:r w:rsidRPr="00CD7231">
        <w:rPr>
          <w:lang w:val="en-US"/>
        </w:rPr>
        <w:t xml:space="preserve"> months from the date of the first disbursement of financing. The evaluation will assess progress in accomplishing program objectives and outcomes based on the Results Matrix in order to identify any corrective action required</w:t>
      </w:r>
      <w:r w:rsidR="002F7446">
        <w:rPr>
          <w:lang w:val="en-US"/>
        </w:rPr>
        <w:t xml:space="preserve">. </w:t>
      </w:r>
      <w:r w:rsidRPr="00CD7231">
        <w:rPr>
          <w:lang w:val="en-US"/>
        </w:rPr>
        <w:t xml:space="preserve">Periodical monitoring meetings are also scheduled. The borrower will provide the information necessary for the Bank to conduct a Project Completion Report (PCR), to be carried out six months after the disbursement conditions for the last operation of the </w:t>
      </w:r>
      <w:r w:rsidR="00A73D28">
        <w:rPr>
          <w:lang w:val="en-US"/>
        </w:rPr>
        <w:t>program</w:t>
      </w:r>
      <w:r w:rsidRPr="00CD7231">
        <w:rPr>
          <w:lang w:val="en-US"/>
        </w:rPr>
        <w:t xml:space="preserve"> have been met</w:t>
      </w:r>
      <w:r w:rsidR="004D2DDB">
        <w:rPr>
          <w:lang w:val="en-US"/>
        </w:rPr>
        <w:t>.</w:t>
      </w:r>
    </w:p>
    <w:p w:rsidR="002F7446" w:rsidRDefault="002F7446" w:rsidP="002F7446">
      <w:pPr>
        <w:pStyle w:val="AutoNumpara"/>
        <w:rPr>
          <w:szCs w:val="24"/>
          <w:lang w:val="en-US"/>
        </w:rPr>
      </w:pPr>
      <w:r w:rsidRPr="002F7446">
        <w:rPr>
          <w:szCs w:val="24"/>
          <w:lang w:val="en-US"/>
        </w:rPr>
        <w:t xml:space="preserve">The Bank, through its Division of </w:t>
      </w:r>
      <w:r w:rsidR="005E6AAD">
        <w:rPr>
          <w:szCs w:val="24"/>
          <w:lang w:val="en-US"/>
        </w:rPr>
        <w:t>IFD/</w:t>
      </w:r>
      <w:r w:rsidRPr="002F7446">
        <w:rPr>
          <w:szCs w:val="24"/>
          <w:lang w:val="en-US"/>
        </w:rPr>
        <w:t xml:space="preserve">CMF </w:t>
      </w:r>
      <w:r w:rsidR="005E6AAD">
        <w:rPr>
          <w:szCs w:val="24"/>
          <w:lang w:val="en-US"/>
        </w:rPr>
        <w:t>and INE/CCS, with</w:t>
      </w:r>
      <w:r w:rsidRPr="002F7446">
        <w:rPr>
          <w:szCs w:val="24"/>
          <w:lang w:val="en-US"/>
        </w:rPr>
        <w:t xml:space="preserve"> support </w:t>
      </w:r>
      <w:r w:rsidR="005E6AAD">
        <w:rPr>
          <w:szCs w:val="24"/>
          <w:lang w:val="en-US"/>
        </w:rPr>
        <w:t>from</w:t>
      </w:r>
      <w:r w:rsidR="005E6AAD" w:rsidRPr="002F7446">
        <w:rPr>
          <w:szCs w:val="24"/>
          <w:lang w:val="en-US"/>
        </w:rPr>
        <w:t xml:space="preserve"> </w:t>
      </w:r>
      <w:r w:rsidRPr="002F7446">
        <w:rPr>
          <w:szCs w:val="24"/>
          <w:lang w:val="en-US"/>
        </w:rPr>
        <w:t>the Office of Strategic Planning and Development Effectiveness (SPD), will collaborate w</w:t>
      </w:r>
      <w:r w:rsidR="00AB04BB">
        <w:rPr>
          <w:szCs w:val="24"/>
          <w:lang w:val="en-US"/>
        </w:rPr>
        <w:t xml:space="preserve">ith NAFIN in </w:t>
      </w:r>
      <w:r w:rsidR="005E6AAD">
        <w:rPr>
          <w:szCs w:val="24"/>
          <w:lang w:val="en-US"/>
        </w:rPr>
        <w:t xml:space="preserve">any </w:t>
      </w:r>
      <w:r w:rsidR="00AB04BB">
        <w:rPr>
          <w:szCs w:val="24"/>
          <w:lang w:val="en-US"/>
        </w:rPr>
        <w:t xml:space="preserve">aspects </w:t>
      </w:r>
      <w:r w:rsidRPr="002F7446">
        <w:rPr>
          <w:szCs w:val="24"/>
          <w:lang w:val="en-US"/>
        </w:rPr>
        <w:t>required and requested. The Bank may provide technical and financial support to carry out the activities of specialized analysis on the economic assessment.</w:t>
      </w:r>
    </w:p>
    <w:p w:rsidR="00212E53" w:rsidRPr="004424E9" w:rsidRDefault="00212E53" w:rsidP="005E6AAD">
      <w:pPr>
        <w:pStyle w:val="AutoNumpara"/>
        <w:rPr>
          <w:lang w:val="en-US"/>
        </w:rPr>
      </w:pPr>
      <w:r w:rsidRPr="004424E9">
        <w:rPr>
          <w:lang w:val="en-US"/>
        </w:rPr>
        <w:t xml:space="preserve">The costs of the activities listed in this plan will be financed </w:t>
      </w:r>
      <w:r w:rsidR="005E6AAD" w:rsidRPr="004424E9">
        <w:rPr>
          <w:lang w:val="en-US"/>
        </w:rPr>
        <w:t xml:space="preserve">by the </w:t>
      </w:r>
      <w:r w:rsidR="005E6AAD" w:rsidRPr="005E6AAD">
        <w:rPr>
          <w:szCs w:val="24"/>
          <w:lang w:val="en-US"/>
        </w:rPr>
        <w:t xml:space="preserve">supervision budget included in the CTF funding </w:t>
      </w:r>
      <w:r w:rsidR="005E6AAD">
        <w:rPr>
          <w:szCs w:val="24"/>
          <w:lang w:val="en-US"/>
        </w:rPr>
        <w:t xml:space="preserve">and/or </w:t>
      </w:r>
      <w:r w:rsidR="005E6AAD">
        <w:rPr>
          <w:lang w:val="en-US"/>
        </w:rPr>
        <w:t>with</w:t>
      </w:r>
      <w:r w:rsidR="00C01841" w:rsidRPr="004424E9">
        <w:rPr>
          <w:lang w:val="en-US"/>
        </w:rPr>
        <w:t xml:space="preserve"> transactional</w:t>
      </w:r>
      <w:r w:rsidRPr="004424E9">
        <w:rPr>
          <w:lang w:val="en-US"/>
        </w:rPr>
        <w:t xml:space="preserve"> budget </w:t>
      </w:r>
      <w:r w:rsidR="00C01841" w:rsidRPr="004424E9">
        <w:rPr>
          <w:lang w:val="en-US"/>
        </w:rPr>
        <w:t xml:space="preserve">of </w:t>
      </w:r>
      <w:r w:rsidR="00505ED8" w:rsidRPr="004424E9">
        <w:rPr>
          <w:lang w:val="en-US"/>
        </w:rPr>
        <w:t xml:space="preserve">the </w:t>
      </w:r>
      <w:r w:rsidRPr="004424E9">
        <w:rPr>
          <w:lang w:val="en-US"/>
        </w:rPr>
        <w:t>CMF divis</w:t>
      </w:r>
      <w:r w:rsidR="00505ED8" w:rsidRPr="004424E9">
        <w:rPr>
          <w:lang w:val="en-US"/>
        </w:rPr>
        <w:t>ion</w:t>
      </w:r>
      <w:r w:rsidR="009056EF">
        <w:rPr>
          <w:lang w:val="en-US"/>
        </w:rPr>
        <w:t>.</w:t>
      </w:r>
      <w:r w:rsidR="00505ED8" w:rsidRPr="004424E9">
        <w:rPr>
          <w:lang w:val="en-US"/>
        </w:rPr>
        <w:t xml:space="preserve"> </w:t>
      </w:r>
      <w:r w:rsidR="009056EF">
        <w:rPr>
          <w:lang w:val="en-US"/>
        </w:rPr>
        <w:t>I</w:t>
      </w:r>
      <w:r w:rsidRPr="004424E9">
        <w:rPr>
          <w:lang w:val="en-US"/>
        </w:rPr>
        <w:t xml:space="preserve">ts completion is expected by the end of the </w:t>
      </w:r>
      <w:r w:rsidR="009056EF">
        <w:rPr>
          <w:lang w:val="en-US"/>
        </w:rPr>
        <w:t>execution period</w:t>
      </w:r>
      <w:r w:rsidRPr="004424E9">
        <w:rPr>
          <w:lang w:val="en-US"/>
        </w:rPr>
        <w:t xml:space="preserve"> of the program (see details in Table 3.2). NAFIN</w:t>
      </w:r>
      <w:r w:rsidR="009056EF">
        <w:rPr>
          <w:lang w:val="en-US"/>
        </w:rPr>
        <w:t xml:space="preserve"> </w:t>
      </w:r>
      <w:r w:rsidR="009056EF" w:rsidRPr="004424E9">
        <w:rPr>
          <w:lang w:val="en-US"/>
        </w:rPr>
        <w:t>and the IDB</w:t>
      </w:r>
      <w:r w:rsidRPr="004424E9">
        <w:rPr>
          <w:lang w:val="en-US"/>
        </w:rPr>
        <w:t xml:space="preserve"> ha</w:t>
      </w:r>
      <w:r w:rsidR="009056EF">
        <w:rPr>
          <w:lang w:val="en-US"/>
        </w:rPr>
        <w:t>ve</w:t>
      </w:r>
      <w:r w:rsidRPr="004424E9">
        <w:rPr>
          <w:lang w:val="en-US"/>
        </w:rPr>
        <w:t xml:space="preserve"> the structure and resources to ensure compliance with the tasks and commitments in this assessment plan. Any further evaluation with more specific purposes or seeking to determine externalities resulting from the execution of the program may be </w:t>
      </w:r>
      <w:r w:rsidR="009056EF">
        <w:rPr>
          <w:lang w:val="en-US"/>
        </w:rPr>
        <w:t xml:space="preserve">carried out </w:t>
      </w:r>
      <w:r w:rsidRPr="004424E9">
        <w:rPr>
          <w:lang w:val="en-US"/>
        </w:rPr>
        <w:t xml:space="preserve">if considered relevant, but </w:t>
      </w:r>
      <w:r w:rsidR="009056EF">
        <w:rPr>
          <w:lang w:val="en-US"/>
        </w:rPr>
        <w:t xml:space="preserve">will </w:t>
      </w:r>
      <w:r w:rsidRPr="004424E9">
        <w:rPr>
          <w:lang w:val="en-US"/>
        </w:rPr>
        <w:t>not</w:t>
      </w:r>
      <w:r w:rsidR="009056EF">
        <w:rPr>
          <w:lang w:val="en-US"/>
        </w:rPr>
        <w:t xml:space="preserve"> be</w:t>
      </w:r>
      <w:r w:rsidRPr="004424E9">
        <w:rPr>
          <w:lang w:val="en-US"/>
        </w:rPr>
        <w:t xml:space="preserve"> incorporated as part of this Monitoring and Evaluation</w:t>
      </w:r>
      <w:r w:rsidR="009056EF">
        <w:rPr>
          <w:lang w:val="en-US"/>
        </w:rPr>
        <w:t xml:space="preserve"> Plan</w:t>
      </w:r>
      <w:r w:rsidRPr="004424E9">
        <w:rPr>
          <w:lang w:val="en-US"/>
        </w:rPr>
        <w:t>.</w:t>
      </w:r>
    </w:p>
    <w:p w:rsidR="00C836B2" w:rsidRDefault="009A3D7F">
      <w:pPr>
        <w:pStyle w:val="BodyText2"/>
        <w:spacing w:after="0" w:line="240" w:lineRule="auto"/>
        <w:jc w:val="center"/>
        <w:rPr>
          <w:b/>
          <w:szCs w:val="24"/>
          <w:lang w:val="en-US"/>
        </w:rPr>
      </w:pPr>
      <w:proofErr w:type="gramStart"/>
      <w:r w:rsidRPr="00937632">
        <w:rPr>
          <w:b/>
          <w:szCs w:val="24"/>
          <w:lang w:val="en-US"/>
        </w:rPr>
        <w:t xml:space="preserve">Table </w:t>
      </w:r>
      <w:r w:rsidR="00937632" w:rsidRPr="00937632">
        <w:rPr>
          <w:b/>
          <w:szCs w:val="24"/>
          <w:lang w:val="en-US"/>
        </w:rPr>
        <w:t>3.2.</w:t>
      </w:r>
      <w:proofErr w:type="gramEnd"/>
      <w:r w:rsidRPr="00937632">
        <w:rPr>
          <w:b/>
          <w:szCs w:val="24"/>
          <w:lang w:val="en-US"/>
        </w:rPr>
        <w:t xml:space="preserve"> Evaluation Working Plan</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8"/>
        <w:gridCol w:w="360"/>
        <w:gridCol w:w="360"/>
        <w:gridCol w:w="360"/>
        <w:gridCol w:w="360"/>
        <w:gridCol w:w="360"/>
        <w:gridCol w:w="360"/>
        <w:gridCol w:w="360"/>
        <w:gridCol w:w="360"/>
        <w:gridCol w:w="360"/>
        <w:gridCol w:w="360"/>
        <w:gridCol w:w="360"/>
        <w:gridCol w:w="360"/>
        <w:gridCol w:w="990"/>
        <w:gridCol w:w="810"/>
      </w:tblGrid>
      <w:tr w:rsidR="008D4B06" w:rsidRPr="00301794" w:rsidTr="004424E9">
        <w:trPr>
          <w:trHeight w:val="368"/>
        </w:trPr>
        <w:tc>
          <w:tcPr>
            <w:tcW w:w="4068" w:type="dxa"/>
            <w:vMerge w:val="restart"/>
            <w:shd w:val="clear" w:color="auto" w:fill="A6A6A6" w:themeFill="background1" w:themeFillShade="A6"/>
            <w:vAlign w:val="center"/>
          </w:tcPr>
          <w:p w:rsidR="00C836B2" w:rsidRPr="00217FDE" w:rsidRDefault="00C836B2" w:rsidP="000F102A">
            <w:pPr>
              <w:spacing w:before="60" w:after="60"/>
              <w:jc w:val="center"/>
              <w:rPr>
                <w:rFonts w:ascii="Times New Roman" w:hAnsi="Times New Roman" w:cs="Times New Roman"/>
                <w:b/>
                <w:sz w:val="18"/>
              </w:rPr>
            </w:pPr>
            <w:r w:rsidRPr="00217FDE">
              <w:rPr>
                <w:rFonts w:ascii="Times New Roman" w:hAnsi="Times New Roman" w:cs="Times New Roman"/>
                <w:b/>
                <w:sz w:val="18"/>
              </w:rPr>
              <w:t>Activities</w:t>
            </w:r>
          </w:p>
        </w:tc>
        <w:tc>
          <w:tcPr>
            <w:tcW w:w="720" w:type="dxa"/>
            <w:gridSpan w:val="2"/>
            <w:shd w:val="clear" w:color="auto" w:fill="A6A6A6" w:themeFill="background1" w:themeFillShade="A6"/>
            <w:vAlign w:val="center"/>
          </w:tcPr>
          <w:p w:rsidR="00C836B2" w:rsidRPr="004424E9" w:rsidRDefault="00C836B2" w:rsidP="000F102A">
            <w:pPr>
              <w:spacing w:before="60" w:after="60"/>
              <w:jc w:val="center"/>
              <w:rPr>
                <w:rFonts w:ascii="Times New Roman" w:hAnsi="Times New Roman" w:cs="Times New Roman"/>
                <w:b/>
                <w:sz w:val="16"/>
              </w:rPr>
            </w:pPr>
            <w:r w:rsidRPr="004424E9">
              <w:rPr>
                <w:rFonts w:ascii="Times New Roman" w:hAnsi="Times New Roman" w:cs="Times New Roman"/>
                <w:b/>
                <w:sz w:val="16"/>
              </w:rPr>
              <w:t xml:space="preserve">Year 1 </w:t>
            </w:r>
          </w:p>
        </w:tc>
        <w:tc>
          <w:tcPr>
            <w:tcW w:w="720" w:type="dxa"/>
            <w:gridSpan w:val="2"/>
            <w:shd w:val="clear" w:color="auto" w:fill="A6A6A6" w:themeFill="background1" w:themeFillShade="A6"/>
            <w:vAlign w:val="center"/>
          </w:tcPr>
          <w:p w:rsidR="00C836B2" w:rsidRPr="004424E9" w:rsidRDefault="00C836B2" w:rsidP="000F102A">
            <w:pPr>
              <w:spacing w:before="60" w:after="60"/>
              <w:jc w:val="center"/>
              <w:rPr>
                <w:rFonts w:ascii="Times New Roman" w:hAnsi="Times New Roman" w:cs="Times New Roman"/>
                <w:b/>
                <w:sz w:val="16"/>
              </w:rPr>
            </w:pPr>
            <w:r w:rsidRPr="004424E9">
              <w:rPr>
                <w:rFonts w:ascii="Times New Roman" w:hAnsi="Times New Roman" w:cs="Times New Roman"/>
                <w:b/>
                <w:sz w:val="16"/>
              </w:rPr>
              <w:t>Year 2</w:t>
            </w:r>
          </w:p>
        </w:tc>
        <w:tc>
          <w:tcPr>
            <w:tcW w:w="720" w:type="dxa"/>
            <w:gridSpan w:val="2"/>
            <w:shd w:val="clear" w:color="auto" w:fill="A6A6A6" w:themeFill="background1" w:themeFillShade="A6"/>
            <w:vAlign w:val="center"/>
          </w:tcPr>
          <w:p w:rsidR="00C836B2" w:rsidRPr="004424E9" w:rsidRDefault="00C836B2" w:rsidP="000F102A">
            <w:pPr>
              <w:spacing w:before="60" w:after="60"/>
              <w:jc w:val="center"/>
              <w:rPr>
                <w:rFonts w:ascii="Times New Roman" w:hAnsi="Times New Roman" w:cs="Times New Roman"/>
                <w:b/>
                <w:sz w:val="16"/>
              </w:rPr>
            </w:pPr>
            <w:r w:rsidRPr="004424E9">
              <w:rPr>
                <w:rFonts w:ascii="Times New Roman" w:hAnsi="Times New Roman" w:cs="Times New Roman"/>
                <w:b/>
                <w:sz w:val="16"/>
              </w:rPr>
              <w:t>Year 3</w:t>
            </w:r>
          </w:p>
        </w:tc>
        <w:tc>
          <w:tcPr>
            <w:tcW w:w="720" w:type="dxa"/>
            <w:gridSpan w:val="2"/>
            <w:shd w:val="clear" w:color="auto" w:fill="A6A6A6" w:themeFill="background1" w:themeFillShade="A6"/>
            <w:vAlign w:val="center"/>
          </w:tcPr>
          <w:p w:rsidR="00C836B2" w:rsidRPr="004424E9" w:rsidRDefault="00C836B2" w:rsidP="000F102A">
            <w:pPr>
              <w:spacing w:before="60" w:after="60"/>
              <w:jc w:val="center"/>
              <w:rPr>
                <w:rFonts w:ascii="Times New Roman" w:hAnsi="Times New Roman" w:cs="Times New Roman"/>
                <w:b/>
                <w:sz w:val="16"/>
              </w:rPr>
            </w:pPr>
            <w:r w:rsidRPr="004424E9">
              <w:rPr>
                <w:rFonts w:ascii="Times New Roman" w:hAnsi="Times New Roman" w:cs="Times New Roman"/>
                <w:b/>
                <w:sz w:val="16"/>
              </w:rPr>
              <w:t>Year 4</w:t>
            </w:r>
          </w:p>
        </w:tc>
        <w:tc>
          <w:tcPr>
            <w:tcW w:w="720" w:type="dxa"/>
            <w:gridSpan w:val="2"/>
            <w:shd w:val="clear" w:color="auto" w:fill="A6A6A6" w:themeFill="background1" w:themeFillShade="A6"/>
            <w:vAlign w:val="center"/>
          </w:tcPr>
          <w:p w:rsidR="00C836B2" w:rsidRPr="004424E9" w:rsidRDefault="00C836B2" w:rsidP="000F102A">
            <w:pPr>
              <w:spacing w:before="60" w:after="60"/>
              <w:jc w:val="center"/>
              <w:rPr>
                <w:rFonts w:ascii="Times New Roman" w:hAnsi="Times New Roman" w:cs="Times New Roman"/>
                <w:b/>
                <w:sz w:val="16"/>
              </w:rPr>
            </w:pPr>
            <w:r w:rsidRPr="004424E9">
              <w:rPr>
                <w:rFonts w:ascii="Times New Roman" w:hAnsi="Times New Roman" w:cs="Times New Roman"/>
                <w:b/>
                <w:sz w:val="16"/>
              </w:rPr>
              <w:t>Year 5</w:t>
            </w:r>
          </w:p>
        </w:tc>
        <w:tc>
          <w:tcPr>
            <w:tcW w:w="720" w:type="dxa"/>
            <w:gridSpan w:val="2"/>
            <w:shd w:val="clear" w:color="auto" w:fill="A6A6A6" w:themeFill="background1" w:themeFillShade="A6"/>
            <w:vAlign w:val="center"/>
          </w:tcPr>
          <w:p w:rsidR="00C836B2" w:rsidRPr="004424E9" w:rsidRDefault="00C836B2" w:rsidP="000F102A">
            <w:pPr>
              <w:spacing w:before="60" w:after="60"/>
              <w:jc w:val="center"/>
              <w:rPr>
                <w:rFonts w:ascii="Times New Roman" w:hAnsi="Times New Roman" w:cs="Times New Roman"/>
                <w:b/>
                <w:sz w:val="16"/>
              </w:rPr>
            </w:pPr>
            <w:r w:rsidRPr="004424E9">
              <w:rPr>
                <w:rFonts w:ascii="Times New Roman" w:hAnsi="Times New Roman" w:cs="Times New Roman"/>
                <w:b/>
                <w:sz w:val="16"/>
              </w:rPr>
              <w:t>Year 6</w:t>
            </w:r>
          </w:p>
        </w:tc>
        <w:tc>
          <w:tcPr>
            <w:tcW w:w="990" w:type="dxa"/>
            <w:vMerge w:val="restart"/>
            <w:shd w:val="clear" w:color="auto" w:fill="A6A6A6" w:themeFill="background1" w:themeFillShade="A6"/>
            <w:vAlign w:val="center"/>
          </w:tcPr>
          <w:p w:rsidR="00C836B2" w:rsidRPr="004424E9" w:rsidRDefault="00C836B2" w:rsidP="000F102A">
            <w:pPr>
              <w:spacing w:before="60" w:after="60"/>
              <w:jc w:val="center"/>
              <w:rPr>
                <w:rFonts w:ascii="Times New Roman" w:hAnsi="Times New Roman" w:cs="Times New Roman"/>
                <w:b/>
                <w:sz w:val="16"/>
              </w:rPr>
            </w:pPr>
            <w:proofErr w:type="spellStart"/>
            <w:r w:rsidRPr="004424E9">
              <w:rPr>
                <w:rFonts w:ascii="Times New Roman" w:hAnsi="Times New Roman" w:cs="Times New Roman"/>
                <w:b/>
                <w:sz w:val="16"/>
              </w:rPr>
              <w:t>Respon</w:t>
            </w:r>
            <w:r w:rsidR="008D4B06" w:rsidRPr="004424E9">
              <w:rPr>
                <w:rFonts w:ascii="Times New Roman" w:hAnsi="Times New Roman" w:cs="Times New Roman"/>
                <w:b/>
                <w:sz w:val="16"/>
              </w:rPr>
              <w:t>-</w:t>
            </w:r>
            <w:r w:rsidRPr="004424E9">
              <w:rPr>
                <w:rFonts w:ascii="Times New Roman" w:hAnsi="Times New Roman" w:cs="Times New Roman"/>
                <w:b/>
                <w:sz w:val="16"/>
              </w:rPr>
              <w:t>sible</w:t>
            </w:r>
            <w:proofErr w:type="spellEnd"/>
          </w:p>
        </w:tc>
        <w:tc>
          <w:tcPr>
            <w:tcW w:w="810" w:type="dxa"/>
            <w:vMerge w:val="restart"/>
            <w:shd w:val="clear" w:color="auto" w:fill="A6A6A6" w:themeFill="background1" w:themeFillShade="A6"/>
          </w:tcPr>
          <w:p w:rsidR="00C836B2" w:rsidRPr="004424E9" w:rsidRDefault="00C836B2" w:rsidP="000F102A">
            <w:pPr>
              <w:spacing w:before="60" w:after="60"/>
              <w:jc w:val="center"/>
              <w:rPr>
                <w:rFonts w:ascii="Times New Roman" w:hAnsi="Times New Roman" w:cs="Times New Roman"/>
                <w:b/>
                <w:sz w:val="16"/>
              </w:rPr>
            </w:pPr>
            <w:r w:rsidRPr="004424E9">
              <w:rPr>
                <w:rFonts w:ascii="Times New Roman" w:hAnsi="Times New Roman" w:cs="Times New Roman"/>
                <w:b/>
                <w:sz w:val="16"/>
              </w:rPr>
              <w:t>Budget</w:t>
            </w:r>
          </w:p>
          <w:p w:rsidR="00C836B2" w:rsidRPr="004424E9" w:rsidRDefault="00C836B2" w:rsidP="000F102A">
            <w:pPr>
              <w:spacing w:before="60" w:after="60"/>
              <w:jc w:val="center"/>
              <w:rPr>
                <w:rFonts w:ascii="Times New Roman" w:hAnsi="Times New Roman" w:cs="Times New Roman"/>
                <w:b/>
                <w:sz w:val="16"/>
              </w:rPr>
            </w:pPr>
            <w:r w:rsidRPr="004424E9">
              <w:rPr>
                <w:rFonts w:ascii="Times New Roman" w:hAnsi="Times New Roman" w:cs="Times New Roman"/>
                <w:b/>
                <w:sz w:val="16"/>
              </w:rPr>
              <w:t>(USD)</w:t>
            </w:r>
          </w:p>
        </w:tc>
      </w:tr>
      <w:tr w:rsidR="004424E9" w:rsidRPr="000B5407" w:rsidTr="004424E9">
        <w:trPr>
          <w:trHeight w:val="260"/>
        </w:trPr>
        <w:tc>
          <w:tcPr>
            <w:tcW w:w="4068" w:type="dxa"/>
            <w:vMerge/>
            <w:shd w:val="clear" w:color="auto" w:fill="D9D9D9" w:themeFill="background1" w:themeFillShade="D9"/>
            <w:vAlign w:val="center"/>
          </w:tcPr>
          <w:p w:rsidR="00C836B2" w:rsidRPr="005A4426" w:rsidRDefault="00C836B2" w:rsidP="000F102A">
            <w:pPr>
              <w:spacing w:before="60" w:after="60"/>
              <w:jc w:val="center"/>
              <w:rPr>
                <w:rFonts w:ascii="Times New Roman" w:hAnsi="Times New Roman" w:cs="Times New Roman"/>
                <w:b/>
                <w:sz w:val="20"/>
              </w:rPr>
            </w:pPr>
          </w:p>
        </w:tc>
        <w:tc>
          <w:tcPr>
            <w:tcW w:w="360" w:type="dxa"/>
            <w:shd w:val="clear" w:color="auto" w:fill="A6A6A6" w:themeFill="background1" w:themeFillShade="A6"/>
            <w:vAlign w:val="center"/>
          </w:tcPr>
          <w:p w:rsidR="00C836B2" w:rsidRPr="004424E9" w:rsidRDefault="00C836B2" w:rsidP="000F102A">
            <w:pPr>
              <w:spacing w:after="0"/>
              <w:jc w:val="center"/>
              <w:rPr>
                <w:rFonts w:ascii="Times New Roman" w:hAnsi="Times New Roman" w:cs="Times New Roman"/>
                <w:b/>
                <w:sz w:val="16"/>
              </w:rPr>
            </w:pPr>
            <w:r w:rsidRPr="004424E9">
              <w:rPr>
                <w:rFonts w:ascii="Times New Roman" w:hAnsi="Times New Roman" w:cs="Times New Roman"/>
                <w:b/>
                <w:sz w:val="16"/>
              </w:rPr>
              <w:t>I</w:t>
            </w:r>
          </w:p>
        </w:tc>
        <w:tc>
          <w:tcPr>
            <w:tcW w:w="360" w:type="dxa"/>
            <w:shd w:val="clear" w:color="auto" w:fill="A6A6A6" w:themeFill="background1" w:themeFillShade="A6"/>
            <w:vAlign w:val="center"/>
          </w:tcPr>
          <w:p w:rsidR="00C836B2" w:rsidRPr="004424E9" w:rsidRDefault="00C836B2" w:rsidP="000F102A">
            <w:pPr>
              <w:spacing w:after="0"/>
              <w:jc w:val="center"/>
              <w:rPr>
                <w:rFonts w:ascii="Times New Roman" w:hAnsi="Times New Roman" w:cs="Times New Roman"/>
                <w:b/>
                <w:sz w:val="16"/>
              </w:rPr>
            </w:pPr>
            <w:r w:rsidRPr="004424E9">
              <w:rPr>
                <w:rFonts w:ascii="Times New Roman" w:hAnsi="Times New Roman" w:cs="Times New Roman"/>
                <w:b/>
                <w:sz w:val="16"/>
              </w:rPr>
              <w:t>II</w:t>
            </w:r>
          </w:p>
        </w:tc>
        <w:tc>
          <w:tcPr>
            <w:tcW w:w="360" w:type="dxa"/>
            <w:shd w:val="clear" w:color="auto" w:fill="A6A6A6" w:themeFill="background1" w:themeFillShade="A6"/>
            <w:vAlign w:val="center"/>
          </w:tcPr>
          <w:p w:rsidR="00C836B2" w:rsidRPr="004424E9" w:rsidRDefault="00C836B2" w:rsidP="000F102A">
            <w:pPr>
              <w:spacing w:after="0"/>
              <w:jc w:val="center"/>
              <w:rPr>
                <w:rFonts w:ascii="Times New Roman" w:hAnsi="Times New Roman" w:cs="Times New Roman"/>
                <w:b/>
                <w:sz w:val="16"/>
              </w:rPr>
            </w:pPr>
            <w:r w:rsidRPr="004424E9">
              <w:rPr>
                <w:rFonts w:ascii="Times New Roman" w:hAnsi="Times New Roman" w:cs="Times New Roman"/>
                <w:b/>
                <w:sz w:val="16"/>
              </w:rPr>
              <w:t>I</w:t>
            </w:r>
          </w:p>
        </w:tc>
        <w:tc>
          <w:tcPr>
            <w:tcW w:w="360" w:type="dxa"/>
            <w:shd w:val="clear" w:color="auto" w:fill="A6A6A6" w:themeFill="background1" w:themeFillShade="A6"/>
            <w:vAlign w:val="center"/>
          </w:tcPr>
          <w:p w:rsidR="00C836B2" w:rsidRPr="004424E9" w:rsidRDefault="00C836B2" w:rsidP="000F102A">
            <w:pPr>
              <w:spacing w:after="0"/>
              <w:jc w:val="center"/>
              <w:rPr>
                <w:rFonts w:ascii="Times New Roman" w:hAnsi="Times New Roman" w:cs="Times New Roman"/>
                <w:b/>
                <w:sz w:val="16"/>
              </w:rPr>
            </w:pPr>
            <w:r w:rsidRPr="004424E9">
              <w:rPr>
                <w:rFonts w:ascii="Times New Roman" w:hAnsi="Times New Roman" w:cs="Times New Roman"/>
                <w:b/>
                <w:sz w:val="16"/>
              </w:rPr>
              <w:t>II</w:t>
            </w:r>
          </w:p>
        </w:tc>
        <w:tc>
          <w:tcPr>
            <w:tcW w:w="360" w:type="dxa"/>
            <w:shd w:val="clear" w:color="auto" w:fill="A6A6A6" w:themeFill="background1" w:themeFillShade="A6"/>
            <w:vAlign w:val="center"/>
          </w:tcPr>
          <w:p w:rsidR="00C836B2" w:rsidRPr="004424E9" w:rsidRDefault="00C836B2" w:rsidP="000F102A">
            <w:pPr>
              <w:spacing w:after="0"/>
              <w:jc w:val="center"/>
              <w:rPr>
                <w:rFonts w:ascii="Times New Roman" w:hAnsi="Times New Roman" w:cs="Times New Roman"/>
                <w:b/>
                <w:sz w:val="16"/>
              </w:rPr>
            </w:pPr>
            <w:r w:rsidRPr="004424E9">
              <w:rPr>
                <w:rFonts w:ascii="Times New Roman" w:hAnsi="Times New Roman" w:cs="Times New Roman"/>
                <w:b/>
                <w:sz w:val="16"/>
              </w:rPr>
              <w:t>I</w:t>
            </w:r>
          </w:p>
        </w:tc>
        <w:tc>
          <w:tcPr>
            <w:tcW w:w="360" w:type="dxa"/>
            <w:shd w:val="clear" w:color="auto" w:fill="A6A6A6" w:themeFill="background1" w:themeFillShade="A6"/>
            <w:vAlign w:val="center"/>
          </w:tcPr>
          <w:p w:rsidR="00C836B2" w:rsidRPr="004424E9" w:rsidRDefault="00C836B2" w:rsidP="000F102A">
            <w:pPr>
              <w:spacing w:after="0"/>
              <w:jc w:val="center"/>
              <w:rPr>
                <w:rFonts w:ascii="Times New Roman" w:hAnsi="Times New Roman" w:cs="Times New Roman"/>
                <w:b/>
                <w:sz w:val="16"/>
              </w:rPr>
            </w:pPr>
            <w:r w:rsidRPr="004424E9">
              <w:rPr>
                <w:rFonts w:ascii="Times New Roman" w:hAnsi="Times New Roman" w:cs="Times New Roman"/>
                <w:b/>
                <w:sz w:val="16"/>
              </w:rPr>
              <w:t>II</w:t>
            </w:r>
          </w:p>
        </w:tc>
        <w:tc>
          <w:tcPr>
            <w:tcW w:w="360" w:type="dxa"/>
            <w:shd w:val="clear" w:color="auto" w:fill="A6A6A6" w:themeFill="background1" w:themeFillShade="A6"/>
            <w:vAlign w:val="center"/>
          </w:tcPr>
          <w:p w:rsidR="00C836B2" w:rsidRPr="004424E9" w:rsidRDefault="00C836B2" w:rsidP="000F102A">
            <w:pPr>
              <w:spacing w:after="0"/>
              <w:jc w:val="center"/>
              <w:rPr>
                <w:rFonts w:ascii="Times New Roman" w:hAnsi="Times New Roman" w:cs="Times New Roman"/>
                <w:b/>
                <w:sz w:val="16"/>
              </w:rPr>
            </w:pPr>
            <w:r w:rsidRPr="004424E9">
              <w:rPr>
                <w:rFonts w:ascii="Times New Roman" w:hAnsi="Times New Roman" w:cs="Times New Roman"/>
                <w:b/>
                <w:sz w:val="16"/>
              </w:rPr>
              <w:t>I</w:t>
            </w:r>
          </w:p>
        </w:tc>
        <w:tc>
          <w:tcPr>
            <w:tcW w:w="360" w:type="dxa"/>
            <w:shd w:val="clear" w:color="auto" w:fill="A6A6A6" w:themeFill="background1" w:themeFillShade="A6"/>
            <w:vAlign w:val="center"/>
          </w:tcPr>
          <w:p w:rsidR="00C836B2" w:rsidRPr="004424E9" w:rsidRDefault="00C836B2" w:rsidP="000F102A">
            <w:pPr>
              <w:spacing w:after="0"/>
              <w:jc w:val="center"/>
              <w:rPr>
                <w:rFonts w:ascii="Times New Roman" w:hAnsi="Times New Roman" w:cs="Times New Roman"/>
                <w:b/>
                <w:sz w:val="16"/>
              </w:rPr>
            </w:pPr>
            <w:r w:rsidRPr="004424E9">
              <w:rPr>
                <w:rFonts w:ascii="Times New Roman" w:hAnsi="Times New Roman" w:cs="Times New Roman"/>
                <w:b/>
                <w:sz w:val="16"/>
              </w:rPr>
              <w:t>II</w:t>
            </w:r>
          </w:p>
        </w:tc>
        <w:tc>
          <w:tcPr>
            <w:tcW w:w="360" w:type="dxa"/>
            <w:shd w:val="clear" w:color="auto" w:fill="A6A6A6" w:themeFill="background1" w:themeFillShade="A6"/>
            <w:vAlign w:val="center"/>
          </w:tcPr>
          <w:p w:rsidR="00C836B2" w:rsidRPr="004424E9" w:rsidRDefault="00C836B2" w:rsidP="000F102A">
            <w:pPr>
              <w:spacing w:after="0"/>
              <w:jc w:val="center"/>
              <w:rPr>
                <w:rFonts w:ascii="Times New Roman" w:hAnsi="Times New Roman" w:cs="Times New Roman"/>
                <w:b/>
                <w:sz w:val="16"/>
              </w:rPr>
            </w:pPr>
            <w:r w:rsidRPr="004424E9">
              <w:rPr>
                <w:rFonts w:ascii="Times New Roman" w:hAnsi="Times New Roman" w:cs="Times New Roman"/>
                <w:b/>
                <w:sz w:val="16"/>
              </w:rPr>
              <w:t>I</w:t>
            </w:r>
          </w:p>
        </w:tc>
        <w:tc>
          <w:tcPr>
            <w:tcW w:w="360" w:type="dxa"/>
            <w:shd w:val="clear" w:color="auto" w:fill="A6A6A6" w:themeFill="background1" w:themeFillShade="A6"/>
            <w:vAlign w:val="center"/>
          </w:tcPr>
          <w:p w:rsidR="00C836B2" w:rsidRPr="004424E9" w:rsidRDefault="00C836B2" w:rsidP="000F102A">
            <w:pPr>
              <w:spacing w:after="0"/>
              <w:jc w:val="center"/>
              <w:rPr>
                <w:rFonts w:ascii="Times New Roman" w:hAnsi="Times New Roman" w:cs="Times New Roman"/>
                <w:b/>
                <w:sz w:val="16"/>
              </w:rPr>
            </w:pPr>
            <w:r w:rsidRPr="004424E9">
              <w:rPr>
                <w:rFonts w:ascii="Times New Roman" w:hAnsi="Times New Roman" w:cs="Times New Roman"/>
                <w:b/>
                <w:sz w:val="16"/>
              </w:rPr>
              <w:t>II</w:t>
            </w:r>
          </w:p>
        </w:tc>
        <w:tc>
          <w:tcPr>
            <w:tcW w:w="360" w:type="dxa"/>
            <w:shd w:val="clear" w:color="auto" w:fill="A6A6A6" w:themeFill="background1" w:themeFillShade="A6"/>
            <w:vAlign w:val="center"/>
          </w:tcPr>
          <w:p w:rsidR="00C836B2" w:rsidRPr="004424E9" w:rsidRDefault="00C836B2" w:rsidP="000F102A">
            <w:pPr>
              <w:spacing w:after="0"/>
              <w:jc w:val="center"/>
              <w:rPr>
                <w:rFonts w:ascii="Times New Roman" w:hAnsi="Times New Roman" w:cs="Times New Roman"/>
                <w:b/>
                <w:sz w:val="16"/>
              </w:rPr>
            </w:pPr>
            <w:r w:rsidRPr="004424E9">
              <w:rPr>
                <w:rFonts w:ascii="Times New Roman" w:hAnsi="Times New Roman" w:cs="Times New Roman"/>
                <w:b/>
                <w:sz w:val="16"/>
              </w:rPr>
              <w:t>I</w:t>
            </w:r>
          </w:p>
        </w:tc>
        <w:tc>
          <w:tcPr>
            <w:tcW w:w="360" w:type="dxa"/>
            <w:shd w:val="clear" w:color="auto" w:fill="A6A6A6" w:themeFill="background1" w:themeFillShade="A6"/>
            <w:vAlign w:val="center"/>
          </w:tcPr>
          <w:p w:rsidR="00C836B2" w:rsidRPr="004424E9" w:rsidRDefault="00C836B2" w:rsidP="000F102A">
            <w:pPr>
              <w:spacing w:after="0"/>
              <w:jc w:val="center"/>
              <w:rPr>
                <w:rFonts w:ascii="Times New Roman" w:hAnsi="Times New Roman" w:cs="Times New Roman"/>
                <w:b/>
                <w:sz w:val="16"/>
              </w:rPr>
            </w:pPr>
            <w:r w:rsidRPr="004424E9">
              <w:rPr>
                <w:rFonts w:ascii="Times New Roman" w:hAnsi="Times New Roman" w:cs="Times New Roman"/>
                <w:b/>
                <w:sz w:val="16"/>
              </w:rPr>
              <w:t>II</w:t>
            </w:r>
          </w:p>
        </w:tc>
        <w:tc>
          <w:tcPr>
            <w:tcW w:w="990" w:type="dxa"/>
            <w:vMerge/>
            <w:shd w:val="clear" w:color="auto" w:fill="D9D9D9" w:themeFill="background1" w:themeFillShade="D9"/>
            <w:vAlign w:val="center"/>
          </w:tcPr>
          <w:p w:rsidR="00C836B2" w:rsidRPr="004424E9" w:rsidRDefault="00C836B2" w:rsidP="000F102A">
            <w:pPr>
              <w:spacing w:before="60" w:after="60"/>
              <w:jc w:val="center"/>
              <w:rPr>
                <w:rFonts w:ascii="Times New Roman" w:hAnsi="Times New Roman" w:cs="Times New Roman"/>
                <w:b/>
                <w:sz w:val="16"/>
              </w:rPr>
            </w:pPr>
          </w:p>
        </w:tc>
        <w:tc>
          <w:tcPr>
            <w:tcW w:w="810" w:type="dxa"/>
            <w:vMerge/>
            <w:shd w:val="clear" w:color="auto" w:fill="D9D9D9" w:themeFill="background1" w:themeFillShade="D9"/>
          </w:tcPr>
          <w:p w:rsidR="00C836B2" w:rsidRPr="004424E9" w:rsidRDefault="00C836B2" w:rsidP="000F102A">
            <w:pPr>
              <w:spacing w:before="60" w:after="60"/>
              <w:jc w:val="center"/>
              <w:rPr>
                <w:rFonts w:ascii="Times New Roman" w:hAnsi="Times New Roman" w:cs="Times New Roman"/>
                <w:b/>
                <w:sz w:val="16"/>
              </w:rPr>
            </w:pPr>
          </w:p>
        </w:tc>
      </w:tr>
      <w:tr w:rsidR="008D4B06" w:rsidRPr="000B5407" w:rsidTr="004424E9">
        <w:trPr>
          <w:trHeight w:val="170"/>
        </w:trPr>
        <w:tc>
          <w:tcPr>
            <w:tcW w:w="4068" w:type="dxa"/>
            <w:tcBorders>
              <w:bottom w:val="single" w:sz="4" w:space="0" w:color="auto"/>
            </w:tcBorders>
            <w:vAlign w:val="center"/>
          </w:tcPr>
          <w:p w:rsidR="00C836B2" w:rsidRPr="00217FDE" w:rsidDel="00356E79" w:rsidRDefault="00C836B2" w:rsidP="000F102A">
            <w:pPr>
              <w:spacing w:after="0"/>
              <w:rPr>
                <w:rFonts w:ascii="Times New Roman" w:hAnsi="Times New Roman" w:cs="Times New Roman"/>
                <w:b/>
                <w:sz w:val="18"/>
              </w:rPr>
            </w:pPr>
            <w:r w:rsidRPr="00217FDE">
              <w:rPr>
                <w:rFonts w:ascii="Times New Roman" w:hAnsi="Times New Roman" w:cs="Times New Roman"/>
                <w:b/>
                <w:sz w:val="18"/>
              </w:rPr>
              <w:t>Collection of data for outcome indicators</w:t>
            </w:r>
          </w:p>
        </w:tc>
        <w:tc>
          <w:tcPr>
            <w:tcW w:w="360" w:type="dxa"/>
            <w:tcBorders>
              <w:bottom w:val="single" w:sz="4" w:space="0" w:color="auto"/>
              <w:right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left w:val="nil"/>
              <w:bottom w:val="single" w:sz="4" w:space="0" w:color="auto"/>
              <w:right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left w:val="nil"/>
              <w:bottom w:val="single" w:sz="4" w:space="0" w:color="auto"/>
              <w:right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left w:val="nil"/>
              <w:bottom w:val="single" w:sz="4" w:space="0" w:color="auto"/>
              <w:right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left w:val="nil"/>
              <w:bottom w:val="single" w:sz="4" w:space="0" w:color="auto"/>
              <w:right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left w:val="nil"/>
              <w:bottom w:val="single" w:sz="4" w:space="0" w:color="auto"/>
              <w:right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left w:val="nil"/>
              <w:bottom w:val="single" w:sz="4" w:space="0" w:color="auto"/>
              <w:right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left w:val="nil"/>
              <w:bottom w:val="single" w:sz="4" w:space="0" w:color="auto"/>
              <w:right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left w:val="nil"/>
              <w:bottom w:val="single" w:sz="4" w:space="0" w:color="auto"/>
              <w:right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left w:val="nil"/>
              <w:bottom w:val="single" w:sz="4" w:space="0" w:color="auto"/>
              <w:right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left w:val="nil"/>
              <w:bottom w:val="single" w:sz="4" w:space="0" w:color="auto"/>
              <w:right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left w:val="nil"/>
              <w:bottom w:val="single" w:sz="4" w:space="0" w:color="auto"/>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990" w:type="dxa"/>
            <w:tcBorders>
              <w:bottom w:val="single" w:sz="4" w:space="0" w:color="auto"/>
            </w:tcBorders>
            <w:vAlign w:val="center"/>
          </w:tcPr>
          <w:p w:rsidR="00C836B2" w:rsidRPr="00217FDE" w:rsidRDefault="00C836B2" w:rsidP="000F102A">
            <w:pPr>
              <w:spacing w:after="0"/>
              <w:jc w:val="center"/>
              <w:rPr>
                <w:rFonts w:ascii="Times New Roman" w:hAnsi="Times New Roman" w:cs="Times New Roman"/>
                <w:sz w:val="18"/>
                <w:szCs w:val="18"/>
              </w:rPr>
            </w:pPr>
          </w:p>
        </w:tc>
        <w:tc>
          <w:tcPr>
            <w:tcW w:w="810" w:type="dxa"/>
            <w:tcBorders>
              <w:bottom w:val="single" w:sz="4" w:space="0" w:color="auto"/>
            </w:tcBorders>
            <w:vAlign w:val="center"/>
          </w:tcPr>
          <w:p w:rsidR="00C836B2" w:rsidRPr="00217FDE" w:rsidRDefault="00BF4FC3" w:rsidP="000F102A">
            <w:pPr>
              <w:spacing w:after="0"/>
              <w:jc w:val="center"/>
              <w:rPr>
                <w:rFonts w:ascii="Times New Roman" w:hAnsi="Times New Roman" w:cs="Times New Roman"/>
                <w:b/>
                <w:sz w:val="18"/>
                <w:szCs w:val="18"/>
              </w:rPr>
            </w:pPr>
            <w:r>
              <w:rPr>
                <w:rFonts w:ascii="Times New Roman" w:hAnsi="Times New Roman" w:cs="Times New Roman"/>
                <w:b/>
                <w:sz w:val="18"/>
                <w:szCs w:val="18"/>
              </w:rPr>
              <w:t>4</w:t>
            </w:r>
            <w:r w:rsidR="00C836B2" w:rsidRPr="00217FDE">
              <w:rPr>
                <w:rFonts w:ascii="Times New Roman" w:hAnsi="Times New Roman" w:cs="Times New Roman"/>
                <w:b/>
                <w:sz w:val="18"/>
                <w:szCs w:val="18"/>
              </w:rPr>
              <w:t>0,000</w:t>
            </w:r>
          </w:p>
        </w:tc>
      </w:tr>
      <w:tr w:rsidR="008D4B06" w:rsidRPr="000B5407" w:rsidTr="004424E9">
        <w:tc>
          <w:tcPr>
            <w:tcW w:w="4068" w:type="dxa"/>
            <w:tcBorders>
              <w:bottom w:val="nil"/>
            </w:tcBorders>
            <w:vAlign w:val="center"/>
          </w:tcPr>
          <w:p w:rsidR="00C836B2" w:rsidRPr="00217FDE" w:rsidDel="00356E79" w:rsidRDefault="00C836B2" w:rsidP="000F102A">
            <w:pPr>
              <w:pStyle w:val="ListParagraph"/>
              <w:numPr>
                <w:ilvl w:val="0"/>
                <w:numId w:val="26"/>
              </w:numPr>
              <w:spacing w:after="0"/>
              <w:ind w:left="180" w:hanging="180"/>
              <w:rPr>
                <w:rFonts w:ascii="Times New Roman" w:hAnsi="Times New Roman" w:cs="Times New Roman"/>
                <w:b/>
                <w:sz w:val="18"/>
              </w:rPr>
            </w:pPr>
            <w:r w:rsidRPr="00217FDE">
              <w:rPr>
                <w:rFonts w:ascii="Times New Roman" w:hAnsi="Times New Roman" w:cs="Times New Roman"/>
                <w:b/>
                <w:sz w:val="18"/>
              </w:rPr>
              <w:t>Geothermal projects financed that moved on from early exploration to production drilling</w:t>
            </w:r>
          </w:p>
        </w:tc>
        <w:tc>
          <w:tcPr>
            <w:tcW w:w="360" w:type="dxa"/>
            <w:tcBorders>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r w:rsidRPr="00217FDE">
              <w:rPr>
                <w:rFonts w:ascii="Times New Roman" w:hAnsi="Times New Roman" w:cs="Times New Roman"/>
                <w:sz w:val="18"/>
                <w:szCs w:val="18"/>
              </w:rPr>
              <w:t>X</w:t>
            </w:r>
          </w:p>
        </w:tc>
        <w:tc>
          <w:tcPr>
            <w:tcW w:w="990" w:type="dxa"/>
            <w:tcBorders>
              <w:bottom w:val="nil"/>
            </w:tcBorders>
            <w:vAlign w:val="center"/>
          </w:tcPr>
          <w:p w:rsidR="00C836B2" w:rsidRPr="00217FDE" w:rsidRDefault="00C836B2" w:rsidP="000F102A">
            <w:pPr>
              <w:spacing w:after="0"/>
              <w:jc w:val="center"/>
              <w:rPr>
                <w:rFonts w:ascii="Times New Roman" w:hAnsi="Times New Roman" w:cs="Times New Roman"/>
                <w:sz w:val="18"/>
                <w:szCs w:val="18"/>
              </w:rPr>
            </w:pPr>
            <w:r w:rsidRPr="00217FDE">
              <w:rPr>
                <w:rFonts w:ascii="Times New Roman" w:hAnsi="Times New Roman" w:cs="Times New Roman"/>
                <w:sz w:val="18"/>
                <w:szCs w:val="18"/>
              </w:rPr>
              <w:t>NAFIN</w:t>
            </w:r>
          </w:p>
        </w:tc>
        <w:tc>
          <w:tcPr>
            <w:tcW w:w="810" w:type="dxa"/>
            <w:tcBorders>
              <w:bottom w:val="nil"/>
            </w:tcBorders>
            <w:vAlign w:val="center"/>
          </w:tcPr>
          <w:p w:rsidR="00C836B2" w:rsidRPr="00217FDE" w:rsidRDefault="00C836B2" w:rsidP="000F102A">
            <w:pPr>
              <w:spacing w:after="0"/>
              <w:jc w:val="center"/>
              <w:rPr>
                <w:rFonts w:ascii="Times New Roman" w:hAnsi="Times New Roman" w:cs="Times New Roman"/>
                <w:sz w:val="18"/>
                <w:szCs w:val="18"/>
              </w:rPr>
            </w:pPr>
            <w:r>
              <w:rPr>
                <w:rFonts w:ascii="Times New Roman" w:hAnsi="Times New Roman" w:cs="Times New Roman"/>
                <w:sz w:val="18"/>
                <w:szCs w:val="18"/>
              </w:rPr>
              <w:t>5,000</w:t>
            </w:r>
          </w:p>
        </w:tc>
      </w:tr>
      <w:tr w:rsidR="008D4B06" w:rsidRPr="000B5407" w:rsidTr="004424E9">
        <w:tc>
          <w:tcPr>
            <w:tcW w:w="4068" w:type="dxa"/>
            <w:tcBorders>
              <w:top w:val="nil"/>
              <w:bottom w:val="nil"/>
            </w:tcBorders>
            <w:vAlign w:val="center"/>
          </w:tcPr>
          <w:p w:rsidR="00C836B2" w:rsidRPr="00217FDE" w:rsidDel="00356E79" w:rsidRDefault="00C836B2" w:rsidP="000F102A">
            <w:pPr>
              <w:pStyle w:val="ListParagraph"/>
              <w:numPr>
                <w:ilvl w:val="0"/>
                <w:numId w:val="26"/>
              </w:numPr>
              <w:spacing w:after="0"/>
              <w:ind w:left="180" w:hanging="180"/>
              <w:rPr>
                <w:rFonts w:ascii="Times New Roman" w:hAnsi="Times New Roman" w:cs="Times New Roman"/>
                <w:b/>
                <w:sz w:val="18"/>
              </w:rPr>
            </w:pPr>
            <w:r w:rsidRPr="00217FDE">
              <w:rPr>
                <w:rFonts w:ascii="Times New Roman" w:hAnsi="Times New Roman" w:cs="Times New Roman"/>
                <w:b/>
                <w:sz w:val="18"/>
              </w:rPr>
              <w:t>Geothermal projects financed that moved on from production drilling to construction</w:t>
            </w: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r w:rsidRPr="00217FDE">
              <w:rPr>
                <w:rFonts w:ascii="Times New Roman" w:hAnsi="Times New Roman" w:cs="Times New Roman"/>
                <w:sz w:val="18"/>
                <w:szCs w:val="18"/>
              </w:rPr>
              <w:t>X</w:t>
            </w:r>
          </w:p>
        </w:tc>
        <w:tc>
          <w:tcPr>
            <w:tcW w:w="990" w:type="dxa"/>
            <w:tcBorders>
              <w:top w:val="nil"/>
              <w:bottom w:val="nil"/>
            </w:tcBorders>
            <w:vAlign w:val="center"/>
          </w:tcPr>
          <w:p w:rsidR="00C836B2" w:rsidRPr="00217FDE" w:rsidRDefault="00C836B2" w:rsidP="000F102A">
            <w:pPr>
              <w:spacing w:after="0"/>
              <w:jc w:val="center"/>
              <w:rPr>
                <w:rFonts w:ascii="Times New Roman" w:hAnsi="Times New Roman" w:cs="Times New Roman"/>
                <w:sz w:val="18"/>
                <w:szCs w:val="18"/>
              </w:rPr>
            </w:pPr>
            <w:r w:rsidRPr="00217FDE">
              <w:rPr>
                <w:rFonts w:ascii="Times New Roman" w:hAnsi="Times New Roman" w:cs="Times New Roman"/>
                <w:sz w:val="18"/>
                <w:szCs w:val="18"/>
              </w:rPr>
              <w:t>NAFIN</w:t>
            </w:r>
          </w:p>
        </w:tc>
        <w:tc>
          <w:tcPr>
            <w:tcW w:w="810" w:type="dxa"/>
            <w:tcBorders>
              <w:top w:val="nil"/>
              <w:bottom w:val="nil"/>
            </w:tcBorders>
            <w:vAlign w:val="center"/>
          </w:tcPr>
          <w:p w:rsidR="00C836B2" w:rsidRPr="00217FDE" w:rsidRDefault="00C836B2" w:rsidP="000F102A">
            <w:pPr>
              <w:spacing w:after="0"/>
              <w:jc w:val="center"/>
              <w:rPr>
                <w:rFonts w:ascii="Times New Roman" w:hAnsi="Times New Roman" w:cs="Times New Roman"/>
                <w:sz w:val="18"/>
                <w:szCs w:val="18"/>
              </w:rPr>
            </w:pPr>
            <w:r>
              <w:rPr>
                <w:rFonts w:ascii="Times New Roman" w:hAnsi="Times New Roman" w:cs="Times New Roman"/>
                <w:sz w:val="18"/>
                <w:szCs w:val="18"/>
              </w:rPr>
              <w:t>5,000</w:t>
            </w:r>
          </w:p>
        </w:tc>
      </w:tr>
      <w:tr w:rsidR="008D4B06" w:rsidRPr="000B5407" w:rsidTr="004424E9">
        <w:tc>
          <w:tcPr>
            <w:tcW w:w="4068" w:type="dxa"/>
            <w:tcBorders>
              <w:top w:val="nil"/>
              <w:bottom w:val="nil"/>
            </w:tcBorders>
            <w:vAlign w:val="center"/>
          </w:tcPr>
          <w:p w:rsidR="00C836B2" w:rsidRPr="00217FDE" w:rsidDel="00356E79" w:rsidRDefault="00C836B2" w:rsidP="000F102A">
            <w:pPr>
              <w:pStyle w:val="ListParagraph"/>
              <w:numPr>
                <w:ilvl w:val="0"/>
                <w:numId w:val="26"/>
              </w:numPr>
              <w:spacing w:after="0"/>
              <w:ind w:left="180" w:hanging="180"/>
              <w:rPr>
                <w:rFonts w:ascii="Times New Roman" w:hAnsi="Times New Roman" w:cs="Times New Roman"/>
                <w:b/>
                <w:sz w:val="18"/>
              </w:rPr>
            </w:pPr>
            <w:r w:rsidRPr="00217FDE">
              <w:rPr>
                <w:rFonts w:ascii="Times New Roman" w:hAnsi="Times New Roman" w:cs="Times New Roman"/>
                <w:b/>
                <w:sz w:val="18"/>
              </w:rPr>
              <w:t>Total geothermal power projects financed at some stage by the program that are in operation (producing electricity)</w:t>
            </w: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r w:rsidRPr="00217FDE">
              <w:rPr>
                <w:rFonts w:ascii="Times New Roman" w:hAnsi="Times New Roman" w:cs="Times New Roman"/>
                <w:sz w:val="18"/>
                <w:szCs w:val="18"/>
              </w:rPr>
              <w:t>X</w:t>
            </w:r>
          </w:p>
        </w:tc>
        <w:tc>
          <w:tcPr>
            <w:tcW w:w="990" w:type="dxa"/>
            <w:tcBorders>
              <w:top w:val="nil"/>
              <w:bottom w:val="nil"/>
            </w:tcBorders>
            <w:vAlign w:val="center"/>
          </w:tcPr>
          <w:p w:rsidR="00C836B2" w:rsidRPr="00217FDE" w:rsidRDefault="00C836B2" w:rsidP="000F102A">
            <w:pPr>
              <w:spacing w:after="0"/>
              <w:jc w:val="center"/>
              <w:rPr>
                <w:rFonts w:ascii="Times New Roman" w:hAnsi="Times New Roman" w:cs="Times New Roman"/>
                <w:sz w:val="18"/>
                <w:szCs w:val="18"/>
              </w:rPr>
            </w:pPr>
            <w:r w:rsidRPr="00217FDE">
              <w:rPr>
                <w:rFonts w:ascii="Times New Roman" w:hAnsi="Times New Roman" w:cs="Times New Roman"/>
                <w:sz w:val="18"/>
                <w:szCs w:val="18"/>
              </w:rPr>
              <w:t>NAFIN</w:t>
            </w:r>
          </w:p>
        </w:tc>
        <w:tc>
          <w:tcPr>
            <w:tcW w:w="810" w:type="dxa"/>
            <w:tcBorders>
              <w:top w:val="nil"/>
              <w:bottom w:val="nil"/>
            </w:tcBorders>
            <w:vAlign w:val="center"/>
          </w:tcPr>
          <w:p w:rsidR="00C836B2" w:rsidRPr="00217FDE" w:rsidRDefault="00C836B2" w:rsidP="000F102A">
            <w:pPr>
              <w:spacing w:after="0"/>
              <w:jc w:val="center"/>
              <w:rPr>
                <w:rFonts w:ascii="Times New Roman" w:hAnsi="Times New Roman" w:cs="Times New Roman"/>
                <w:sz w:val="18"/>
                <w:szCs w:val="18"/>
              </w:rPr>
            </w:pPr>
            <w:r>
              <w:rPr>
                <w:rFonts w:ascii="Times New Roman" w:hAnsi="Times New Roman" w:cs="Times New Roman"/>
                <w:sz w:val="18"/>
                <w:szCs w:val="18"/>
              </w:rPr>
              <w:t>5,000</w:t>
            </w:r>
          </w:p>
        </w:tc>
      </w:tr>
      <w:tr w:rsidR="008D4B06" w:rsidRPr="000B5407" w:rsidTr="004424E9">
        <w:tc>
          <w:tcPr>
            <w:tcW w:w="4068" w:type="dxa"/>
            <w:tcBorders>
              <w:top w:val="nil"/>
              <w:bottom w:val="nil"/>
            </w:tcBorders>
            <w:vAlign w:val="center"/>
          </w:tcPr>
          <w:p w:rsidR="00C836B2" w:rsidRPr="00217FDE" w:rsidDel="00356E79" w:rsidRDefault="00C836B2" w:rsidP="000F102A">
            <w:pPr>
              <w:pStyle w:val="ListParagraph"/>
              <w:numPr>
                <w:ilvl w:val="0"/>
                <w:numId w:val="26"/>
              </w:numPr>
              <w:spacing w:after="0"/>
              <w:ind w:left="180" w:hanging="180"/>
              <w:rPr>
                <w:rFonts w:ascii="Times New Roman" w:hAnsi="Times New Roman" w:cs="Times New Roman"/>
                <w:b/>
                <w:sz w:val="18"/>
              </w:rPr>
            </w:pPr>
            <w:r w:rsidRPr="00217FDE">
              <w:rPr>
                <w:rFonts w:ascii="Times New Roman" w:hAnsi="Times New Roman" w:cs="Times New Roman"/>
                <w:b/>
                <w:sz w:val="18"/>
              </w:rPr>
              <w:t>Geothermal power generation capacity installed in projects financed at some stage by the program</w:t>
            </w: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r w:rsidRPr="00217FDE">
              <w:rPr>
                <w:rFonts w:ascii="Times New Roman" w:hAnsi="Times New Roman" w:cs="Times New Roman"/>
                <w:sz w:val="18"/>
                <w:szCs w:val="18"/>
              </w:rPr>
              <w:t>X</w:t>
            </w:r>
          </w:p>
        </w:tc>
        <w:tc>
          <w:tcPr>
            <w:tcW w:w="990" w:type="dxa"/>
            <w:tcBorders>
              <w:top w:val="nil"/>
              <w:bottom w:val="nil"/>
            </w:tcBorders>
            <w:vAlign w:val="center"/>
          </w:tcPr>
          <w:p w:rsidR="00C836B2" w:rsidRPr="00217FDE" w:rsidRDefault="00C836B2" w:rsidP="000F102A">
            <w:pPr>
              <w:spacing w:after="0"/>
              <w:jc w:val="center"/>
              <w:rPr>
                <w:rFonts w:ascii="Times New Roman" w:hAnsi="Times New Roman" w:cs="Times New Roman"/>
                <w:sz w:val="18"/>
                <w:szCs w:val="18"/>
              </w:rPr>
            </w:pPr>
            <w:r w:rsidRPr="00217FDE">
              <w:rPr>
                <w:rFonts w:ascii="Times New Roman" w:hAnsi="Times New Roman" w:cs="Times New Roman"/>
                <w:sz w:val="18"/>
                <w:szCs w:val="18"/>
              </w:rPr>
              <w:t>NAFIN</w:t>
            </w:r>
          </w:p>
        </w:tc>
        <w:tc>
          <w:tcPr>
            <w:tcW w:w="810" w:type="dxa"/>
            <w:tcBorders>
              <w:top w:val="nil"/>
              <w:bottom w:val="nil"/>
            </w:tcBorders>
            <w:vAlign w:val="center"/>
          </w:tcPr>
          <w:p w:rsidR="00C836B2" w:rsidRPr="00217FDE" w:rsidRDefault="00C836B2" w:rsidP="000F102A">
            <w:pPr>
              <w:spacing w:after="0"/>
              <w:jc w:val="center"/>
              <w:rPr>
                <w:rFonts w:ascii="Times New Roman" w:hAnsi="Times New Roman" w:cs="Times New Roman"/>
                <w:sz w:val="18"/>
                <w:szCs w:val="18"/>
              </w:rPr>
            </w:pPr>
            <w:r>
              <w:rPr>
                <w:rFonts w:ascii="Times New Roman" w:hAnsi="Times New Roman" w:cs="Times New Roman"/>
                <w:sz w:val="18"/>
                <w:szCs w:val="18"/>
              </w:rPr>
              <w:t>5,000</w:t>
            </w:r>
          </w:p>
        </w:tc>
      </w:tr>
      <w:tr w:rsidR="008D4B06" w:rsidRPr="000B5407" w:rsidTr="004424E9">
        <w:tc>
          <w:tcPr>
            <w:tcW w:w="4068" w:type="dxa"/>
            <w:tcBorders>
              <w:top w:val="nil"/>
              <w:bottom w:val="nil"/>
            </w:tcBorders>
            <w:vAlign w:val="center"/>
          </w:tcPr>
          <w:p w:rsidR="00C836B2" w:rsidRPr="00217FDE" w:rsidDel="00356E79" w:rsidRDefault="00C836B2" w:rsidP="000F102A">
            <w:pPr>
              <w:pStyle w:val="ListParagraph"/>
              <w:numPr>
                <w:ilvl w:val="0"/>
                <w:numId w:val="26"/>
              </w:numPr>
              <w:spacing w:after="0"/>
              <w:ind w:left="180" w:hanging="180"/>
              <w:rPr>
                <w:rFonts w:ascii="Times New Roman" w:hAnsi="Times New Roman" w:cs="Times New Roman"/>
                <w:b/>
                <w:sz w:val="18"/>
              </w:rPr>
            </w:pPr>
            <w:r w:rsidRPr="00217FDE">
              <w:rPr>
                <w:rFonts w:ascii="Times New Roman" w:hAnsi="Times New Roman" w:cs="Times New Roman"/>
                <w:b/>
                <w:sz w:val="18"/>
              </w:rPr>
              <w:t>Electricity production from geothermal projects financed at some stage by the program</w:t>
            </w: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r w:rsidRPr="00217FDE">
              <w:rPr>
                <w:rFonts w:ascii="Times New Roman" w:hAnsi="Times New Roman" w:cs="Times New Roman"/>
                <w:sz w:val="18"/>
                <w:szCs w:val="18"/>
              </w:rPr>
              <w:t>X</w:t>
            </w:r>
          </w:p>
        </w:tc>
        <w:tc>
          <w:tcPr>
            <w:tcW w:w="990" w:type="dxa"/>
            <w:tcBorders>
              <w:top w:val="nil"/>
              <w:bottom w:val="nil"/>
            </w:tcBorders>
            <w:vAlign w:val="center"/>
          </w:tcPr>
          <w:p w:rsidR="00C836B2" w:rsidRPr="00217FDE" w:rsidRDefault="00C836B2" w:rsidP="000F102A">
            <w:pPr>
              <w:spacing w:after="0"/>
              <w:jc w:val="center"/>
              <w:rPr>
                <w:rFonts w:ascii="Times New Roman" w:hAnsi="Times New Roman" w:cs="Times New Roman"/>
                <w:sz w:val="18"/>
                <w:szCs w:val="18"/>
              </w:rPr>
            </w:pPr>
            <w:r w:rsidRPr="00217FDE">
              <w:rPr>
                <w:rFonts w:ascii="Times New Roman" w:hAnsi="Times New Roman" w:cs="Times New Roman"/>
                <w:sz w:val="18"/>
                <w:szCs w:val="18"/>
              </w:rPr>
              <w:t>IDB</w:t>
            </w:r>
          </w:p>
        </w:tc>
        <w:tc>
          <w:tcPr>
            <w:tcW w:w="810" w:type="dxa"/>
            <w:tcBorders>
              <w:top w:val="nil"/>
              <w:bottom w:val="nil"/>
            </w:tcBorders>
            <w:vAlign w:val="center"/>
          </w:tcPr>
          <w:p w:rsidR="00C836B2" w:rsidRPr="00217FDE" w:rsidRDefault="00C836B2" w:rsidP="000F102A">
            <w:pPr>
              <w:spacing w:after="0"/>
              <w:jc w:val="center"/>
              <w:rPr>
                <w:rFonts w:ascii="Times New Roman" w:hAnsi="Times New Roman" w:cs="Times New Roman"/>
                <w:sz w:val="18"/>
                <w:szCs w:val="18"/>
              </w:rPr>
            </w:pPr>
            <w:r>
              <w:rPr>
                <w:rFonts w:ascii="Times New Roman" w:hAnsi="Times New Roman" w:cs="Times New Roman"/>
                <w:sz w:val="18"/>
                <w:szCs w:val="18"/>
              </w:rPr>
              <w:t>5,000</w:t>
            </w:r>
          </w:p>
        </w:tc>
      </w:tr>
      <w:tr w:rsidR="008D4B06" w:rsidRPr="000B5407" w:rsidTr="004424E9">
        <w:tc>
          <w:tcPr>
            <w:tcW w:w="4068" w:type="dxa"/>
            <w:tcBorders>
              <w:top w:val="nil"/>
              <w:bottom w:val="nil"/>
            </w:tcBorders>
            <w:vAlign w:val="center"/>
          </w:tcPr>
          <w:p w:rsidR="00C836B2" w:rsidRPr="00217FDE" w:rsidDel="00356E79" w:rsidRDefault="00C836B2" w:rsidP="000F102A">
            <w:pPr>
              <w:pStyle w:val="ListParagraph"/>
              <w:numPr>
                <w:ilvl w:val="0"/>
                <w:numId w:val="26"/>
              </w:numPr>
              <w:spacing w:after="0"/>
              <w:ind w:left="180" w:hanging="180"/>
              <w:rPr>
                <w:rFonts w:ascii="Times New Roman" w:hAnsi="Times New Roman" w:cs="Times New Roman"/>
                <w:b/>
                <w:sz w:val="18"/>
              </w:rPr>
            </w:pPr>
            <w:r w:rsidRPr="00217FDE">
              <w:rPr>
                <w:rFonts w:ascii="Times New Roman" w:hAnsi="Times New Roman" w:cs="Times New Roman"/>
                <w:b/>
                <w:sz w:val="18"/>
              </w:rPr>
              <w:t>Greenhouse gas (GHG) emissions avoided by geothermal projects financed at some stage by the program</w:t>
            </w: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r w:rsidRPr="00217FDE">
              <w:rPr>
                <w:rFonts w:ascii="Times New Roman" w:hAnsi="Times New Roman" w:cs="Times New Roman"/>
                <w:sz w:val="18"/>
                <w:szCs w:val="18"/>
              </w:rPr>
              <w:t>X</w:t>
            </w:r>
          </w:p>
        </w:tc>
        <w:tc>
          <w:tcPr>
            <w:tcW w:w="990" w:type="dxa"/>
            <w:tcBorders>
              <w:top w:val="nil"/>
              <w:bottom w:val="nil"/>
            </w:tcBorders>
            <w:vAlign w:val="center"/>
          </w:tcPr>
          <w:p w:rsidR="00C836B2" w:rsidRPr="00217FDE" w:rsidRDefault="00C836B2" w:rsidP="000F102A">
            <w:pPr>
              <w:spacing w:after="0"/>
              <w:jc w:val="center"/>
              <w:rPr>
                <w:rFonts w:ascii="Times New Roman" w:hAnsi="Times New Roman" w:cs="Times New Roman"/>
                <w:sz w:val="18"/>
                <w:szCs w:val="18"/>
              </w:rPr>
            </w:pPr>
            <w:r w:rsidRPr="00217FDE">
              <w:rPr>
                <w:rFonts w:ascii="Times New Roman" w:hAnsi="Times New Roman" w:cs="Times New Roman"/>
                <w:sz w:val="18"/>
                <w:szCs w:val="18"/>
              </w:rPr>
              <w:t>IDB</w:t>
            </w:r>
          </w:p>
        </w:tc>
        <w:tc>
          <w:tcPr>
            <w:tcW w:w="810" w:type="dxa"/>
            <w:tcBorders>
              <w:top w:val="nil"/>
              <w:bottom w:val="nil"/>
            </w:tcBorders>
            <w:vAlign w:val="center"/>
          </w:tcPr>
          <w:p w:rsidR="00C836B2" w:rsidRPr="00217FDE" w:rsidRDefault="00C836B2" w:rsidP="000F102A">
            <w:pPr>
              <w:spacing w:after="0"/>
              <w:jc w:val="center"/>
              <w:rPr>
                <w:rFonts w:ascii="Times New Roman" w:hAnsi="Times New Roman" w:cs="Times New Roman"/>
                <w:sz w:val="18"/>
                <w:szCs w:val="18"/>
              </w:rPr>
            </w:pPr>
            <w:r>
              <w:rPr>
                <w:rFonts w:ascii="Times New Roman" w:hAnsi="Times New Roman" w:cs="Times New Roman"/>
                <w:sz w:val="18"/>
                <w:szCs w:val="18"/>
              </w:rPr>
              <w:t>5,000</w:t>
            </w:r>
          </w:p>
        </w:tc>
      </w:tr>
      <w:tr w:rsidR="008D4B06" w:rsidRPr="000B5407" w:rsidTr="00BF4FC3">
        <w:tc>
          <w:tcPr>
            <w:tcW w:w="4068" w:type="dxa"/>
            <w:tcBorders>
              <w:top w:val="nil"/>
              <w:bottom w:val="single" w:sz="4" w:space="0" w:color="auto"/>
            </w:tcBorders>
            <w:vAlign w:val="center"/>
          </w:tcPr>
          <w:p w:rsidR="00C836B2" w:rsidRPr="00217FDE" w:rsidRDefault="00C836B2" w:rsidP="000F102A">
            <w:pPr>
              <w:pStyle w:val="ListParagraph"/>
              <w:numPr>
                <w:ilvl w:val="0"/>
                <w:numId w:val="26"/>
              </w:numPr>
              <w:spacing w:after="0"/>
              <w:ind w:left="180" w:hanging="180"/>
              <w:rPr>
                <w:rFonts w:ascii="Times New Roman" w:hAnsi="Times New Roman" w:cs="Times New Roman"/>
                <w:b/>
                <w:sz w:val="18"/>
              </w:rPr>
            </w:pPr>
            <w:r w:rsidRPr="00217FDE">
              <w:rPr>
                <w:rFonts w:ascii="Times New Roman" w:hAnsi="Times New Roman" w:cs="Times New Roman"/>
                <w:b/>
                <w:sz w:val="18"/>
              </w:rPr>
              <w:t>Additional financing from third parties mobilized to complete geothermal projects financed at some stage by the program</w:t>
            </w:r>
          </w:p>
        </w:tc>
        <w:tc>
          <w:tcPr>
            <w:tcW w:w="360" w:type="dxa"/>
            <w:tcBorders>
              <w:top w:val="nil"/>
              <w:bottom w:val="single" w:sz="4" w:space="0" w:color="auto"/>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single" w:sz="4" w:space="0" w:color="auto"/>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r w:rsidRPr="00217FDE">
              <w:rPr>
                <w:rFonts w:ascii="Times New Roman" w:hAnsi="Times New Roman" w:cs="Times New Roman"/>
                <w:sz w:val="18"/>
                <w:szCs w:val="18"/>
              </w:rPr>
              <w:t>X</w:t>
            </w:r>
          </w:p>
        </w:tc>
        <w:tc>
          <w:tcPr>
            <w:tcW w:w="360" w:type="dxa"/>
            <w:tcBorders>
              <w:top w:val="nil"/>
              <w:bottom w:val="single" w:sz="4" w:space="0" w:color="auto"/>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single" w:sz="4" w:space="0" w:color="auto"/>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r w:rsidRPr="00217FDE">
              <w:rPr>
                <w:rFonts w:ascii="Times New Roman" w:hAnsi="Times New Roman" w:cs="Times New Roman"/>
                <w:sz w:val="18"/>
                <w:szCs w:val="18"/>
              </w:rPr>
              <w:t>X</w:t>
            </w:r>
          </w:p>
        </w:tc>
        <w:tc>
          <w:tcPr>
            <w:tcW w:w="360" w:type="dxa"/>
            <w:tcBorders>
              <w:top w:val="nil"/>
              <w:bottom w:val="single" w:sz="4" w:space="0" w:color="auto"/>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single" w:sz="4" w:space="0" w:color="auto"/>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r w:rsidRPr="00217FDE">
              <w:rPr>
                <w:rFonts w:ascii="Times New Roman" w:hAnsi="Times New Roman" w:cs="Times New Roman"/>
                <w:sz w:val="18"/>
                <w:szCs w:val="18"/>
              </w:rPr>
              <w:t>X</w:t>
            </w:r>
          </w:p>
        </w:tc>
        <w:tc>
          <w:tcPr>
            <w:tcW w:w="360" w:type="dxa"/>
            <w:tcBorders>
              <w:top w:val="nil"/>
              <w:bottom w:val="single" w:sz="4" w:space="0" w:color="auto"/>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single" w:sz="4" w:space="0" w:color="auto"/>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r w:rsidRPr="00217FDE">
              <w:rPr>
                <w:rFonts w:ascii="Times New Roman" w:hAnsi="Times New Roman" w:cs="Times New Roman"/>
                <w:sz w:val="18"/>
                <w:szCs w:val="18"/>
              </w:rPr>
              <w:t>X</w:t>
            </w:r>
          </w:p>
        </w:tc>
        <w:tc>
          <w:tcPr>
            <w:tcW w:w="360" w:type="dxa"/>
            <w:tcBorders>
              <w:top w:val="nil"/>
              <w:bottom w:val="single" w:sz="4" w:space="0" w:color="auto"/>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single" w:sz="4" w:space="0" w:color="auto"/>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r w:rsidRPr="00217FDE">
              <w:rPr>
                <w:rFonts w:ascii="Times New Roman" w:hAnsi="Times New Roman" w:cs="Times New Roman"/>
                <w:sz w:val="18"/>
                <w:szCs w:val="18"/>
              </w:rPr>
              <w:t>X</w:t>
            </w:r>
          </w:p>
        </w:tc>
        <w:tc>
          <w:tcPr>
            <w:tcW w:w="360" w:type="dxa"/>
            <w:tcBorders>
              <w:top w:val="nil"/>
              <w:bottom w:val="single" w:sz="4" w:space="0" w:color="auto"/>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bottom w:val="single" w:sz="4" w:space="0" w:color="auto"/>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r w:rsidRPr="00217FDE">
              <w:rPr>
                <w:rFonts w:ascii="Times New Roman" w:hAnsi="Times New Roman" w:cs="Times New Roman"/>
                <w:sz w:val="18"/>
                <w:szCs w:val="18"/>
              </w:rPr>
              <w:t>X</w:t>
            </w:r>
          </w:p>
        </w:tc>
        <w:tc>
          <w:tcPr>
            <w:tcW w:w="990" w:type="dxa"/>
            <w:tcBorders>
              <w:top w:val="nil"/>
              <w:bottom w:val="single" w:sz="4" w:space="0" w:color="auto"/>
            </w:tcBorders>
            <w:vAlign w:val="center"/>
          </w:tcPr>
          <w:p w:rsidR="00C836B2" w:rsidRPr="00217FDE" w:rsidRDefault="00C836B2" w:rsidP="000F102A">
            <w:pPr>
              <w:spacing w:after="0"/>
              <w:jc w:val="center"/>
              <w:rPr>
                <w:rFonts w:ascii="Times New Roman" w:hAnsi="Times New Roman" w:cs="Times New Roman"/>
                <w:sz w:val="18"/>
                <w:szCs w:val="18"/>
              </w:rPr>
            </w:pPr>
            <w:r w:rsidRPr="00217FDE">
              <w:rPr>
                <w:rFonts w:ascii="Times New Roman" w:hAnsi="Times New Roman" w:cs="Times New Roman"/>
                <w:sz w:val="18"/>
                <w:szCs w:val="18"/>
              </w:rPr>
              <w:t>NAFIN/</w:t>
            </w:r>
            <w:r w:rsidR="008D4B06">
              <w:rPr>
                <w:rFonts w:ascii="Times New Roman" w:hAnsi="Times New Roman" w:cs="Times New Roman"/>
                <w:sz w:val="18"/>
                <w:szCs w:val="18"/>
              </w:rPr>
              <w:t xml:space="preserve"> </w:t>
            </w:r>
            <w:r w:rsidRPr="00217FDE">
              <w:rPr>
                <w:rFonts w:ascii="Times New Roman" w:hAnsi="Times New Roman" w:cs="Times New Roman"/>
                <w:sz w:val="18"/>
                <w:szCs w:val="18"/>
              </w:rPr>
              <w:t>IDB</w:t>
            </w:r>
          </w:p>
        </w:tc>
        <w:tc>
          <w:tcPr>
            <w:tcW w:w="810" w:type="dxa"/>
            <w:tcBorders>
              <w:top w:val="nil"/>
              <w:bottom w:val="single" w:sz="4" w:space="0" w:color="auto"/>
            </w:tcBorders>
            <w:vAlign w:val="center"/>
          </w:tcPr>
          <w:p w:rsidR="00C836B2" w:rsidRPr="00217FDE" w:rsidRDefault="00C836B2" w:rsidP="000F102A">
            <w:pPr>
              <w:spacing w:after="0"/>
              <w:jc w:val="center"/>
              <w:rPr>
                <w:rFonts w:ascii="Times New Roman" w:hAnsi="Times New Roman" w:cs="Times New Roman"/>
                <w:sz w:val="18"/>
                <w:szCs w:val="18"/>
              </w:rPr>
            </w:pPr>
            <w:r>
              <w:rPr>
                <w:rFonts w:ascii="Times New Roman" w:hAnsi="Times New Roman" w:cs="Times New Roman"/>
                <w:sz w:val="18"/>
                <w:szCs w:val="18"/>
              </w:rPr>
              <w:t>10,000</w:t>
            </w:r>
          </w:p>
        </w:tc>
      </w:tr>
      <w:tr w:rsidR="008D4B06" w:rsidRPr="000B5407" w:rsidTr="00BF4FC3">
        <w:tc>
          <w:tcPr>
            <w:tcW w:w="4068" w:type="dxa"/>
            <w:tcBorders>
              <w:top w:val="single" w:sz="4" w:space="0" w:color="auto"/>
            </w:tcBorders>
            <w:vAlign w:val="center"/>
          </w:tcPr>
          <w:p w:rsidR="00C836B2" w:rsidRPr="004424E9" w:rsidRDefault="00C836B2" w:rsidP="004424E9">
            <w:pPr>
              <w:spacing w:after="0"/>
              <w:rPr>
                <w:rFonts w:ascii="Times New Roman" w:hAnsi="Times New Roman" w:cs="Times New Roman"/>
                <w:b/>
                <w:sz w:val="18"/>
              </w:rPr>
            </w:pPr>
            <w:r>
              <w:rPr>
                <w:rFonts w:ascii="Times New Roman" w:hAnsi="Times New Roman" w:cs="Times New Roman"/>
                <w:b/>
                <w:sz w:val="18"/>
              </w:rPr>
              <w:t xml:space="preserve">Data Projections and Analysis </w:t>
            </w:r>
          </w:p>
        </w:tc>
        <w:tc>
          <w:tcPr>
            <w:tcW w:w="360" w:type="dxa"/>
            <w:tcBorders>
              <w:top w:val="single" w:sz="4" w:space="0" w:color="auto"/>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single" w:sz="4" w:space="0" w:color="auto"/>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single" w:sz="4" w:space="0" w:color="auto"/>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single" w:sz="4" w:space="0" w:color="auto"/>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single" w:sz="4" w:space="0" w:color="auto"/>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single" w:sz="4" w:space="0" w:color="auto"/>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single" w:sz="4" w:space="0" w:color="auto"/>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single" w:sz="4" w:space="0" w:color="auto"/>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single" w:sz="4" w:space="0" w:color="auto"/>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single" w:sz="4" w:space="0" w:color="auto"/>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single" w:sz="4" w:space="0" w:color="auto"/>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single" w:sz="4" w:space="0" w:color="auto"/>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r>
              <w:rPr>
                <w:rFonts w:ascii="Times New Roman" w:hAnsi="Times New Roman" w:cs="Times New Roman"/>
                <w:sz w:val="18"/>
                <w:szCs w:val="18"/>
              </w:rPr>
              <w:t>X</w:t>
            </w:r>
          </w:p>
        </w:tc>
        <w:tc>
          <w:tcPr>
            <w:tcW w:w="990" w:type="dxa"/>
            <w:tcBorders>
              <w:top w:val="single" w:sz="4" w:space="0" w:color="auto"/>
            </w:tcBorders>
            <w:vAlign w:val="center"/>
          </w:tcPr>
          <w:p w:rsidR="00C836B2" w:rsidRPr="00217FDE" w:rsidRDefault="00C836B2">
            <w:pPr>
              <w:spacing w:after="0"/>
              <w:jc w:val="center"/>
              <w:rPr>
                <w:rFonts w:ascii="Times New Roman" w:hAnsi="Times New Roman" w:cs="Times New Roman"/>
                <w:sz w:val="18"/>
                <w:szCs w:val="18"/>
              </w:rPr>
            </w:pPr>
            <w:r>
              <w:rPr>
                <w:rFonts w:ascii="Times New Roman" w:hAnsi="Times New Roman" w:cs="Times New Roman"/>
                <w:sz w:val="18"/>
                <w:szCs w:val="18"/>
              </w:rPr>
              <w:t>Consul</w:t>
            </w:r>
            <w:r w:rsidR="008D4B06">
              <w:rPr>
                <w:rFonts w:ascii="Times New Roman" w:hAnsi="Times New Roman" w:cs="Times New Roman"/>
                <w:sz w:val="18"/>
                <w:szCs w:val="18"/>
              </w:rPr>
              <w:t>-</w:t>
            </w:r>
            <w:proofErr w:type="spellStart"/>
            <w:r>
              <w:rPr>
                <w:rFonts w:ascii="Times New Roman" w:hAnsi="Times New Roman" w:cs="Times New Roman"/>
                <w:sz w:val="18"/>
                <w:szCs w:val="18"/>
              </w:rPr>
              <w:t>tant</w:t>
            </w:r>
            <w:proofErr w:type="spellEnd"/>
          </w:p>
        </w:tc>
        <w:tc>
          <w:tcPr>
            <w:tcW w:w="810" w:type="dxa"/>
            <w:tcBorders>
              <w:top w:val="single" w:sz="4" w:space="0" w:color="auto"/>
            </w:tcBorders>
            <w:vAlign w:val="center"/>
          </w:tcPr>
          <w:p w:rsidR="00C836B2" w:rsidRPr="004424E9" w:rsidRDefault="000B7769" w:rsidP="00772BBF">
            <w:pPr>
              <w:spacing w:after="0"/>
              <w:jc w:val="center"/>
              <w:rPr>
                <w:rFonts w:ascii="Times New Roman" w:hAnsi="Times New Roman" w:cs="Times New Roman"/>
                <w:b/>
                <w:sz w:val="18"/>
                <w:szCs w:val="18"/>
              </w:rPr>
            </w:pPr>
            <w:r w:rsidRPr="004424E9">
              <w:rPr>
                <w:rFonts w:ascii="Times New Roman" w:hAnsi="Times New Roman" w:cs="Times New Roman"/>
                <w:b/>
                <w:sz w:val="18"/>
                <w:szCs w:val="18"/>
              </w:rPr>
              <w:t>15</w:t>
            </w:r>
            <w:r w:rsidR="002527A8" w:rsidRPr="004424E9">
              <w:rPr>
                <w:rFonts w:ascii="Times New Roman" w:hAnsi="Times New Roman" w:cs="Times New Roman"/>
                <w:b/>
                <w:sz w:val="18"/>
                <w:szCs w:val="18"/>
              </w:rPr>
              <w:t>,</w:t>
            </w:r>
            <w:r w:rsidRPr="004424E9">
              <w:rPr>
                <w:rFonts w:ascii="Times New Roman" w:hAnsi="Times New Roman" w:cs="Times New Roman"/>
                <w:b/>
                <w:sz w:val="18"/>
                <w:szCs w:val="18"/>
              </w:rPr>
              <w:t>000</w:t>
            </w:r>
          </w:p>
        </w:tc>
      </w:tr>
      <w:tr w:rsidR="008D4B06" w:rsidRPr="000B5407" w:rsidTr="004424E9">
        <w:tc>
          <w:tcPr>
            <w:tcW w:w="4068" w:type="dxa"/>
            <w:tcBorders>
              <w:top w:val="nil"/>
            </w:tcBorders>
            <w:vAlign w:val="center"/>
          </w:tcPr>
          <w:p w:rsidR="00C836B2" w:rsidRDefault="00C836B2">
            <w:pPr>
              <w:spacing w:after="0"/>
              <w:rPr>
                <w:rFonts w:ascii="Times New Roman" w:hAnsi="Times New Roman" w:cs="Times New Roman"/>
                <w:b/>
                <w:sz w:val="18"/>
              </w:rPr>
            </w:pPr>
            <w:r>
              <w:rPr>
                <w:rFonts w:ascii="Times New Roman" w:hAnsi="Times New Roman" w:cs="Times New Roman"/>
                <w:b/>
                <w:sz w:val="20"/>
              </w:rPr>
              <w:t xml:space="preserve">Final Evaluation: Cost-Benefit Analysis </w:t>
            </w:r>
          </w:p>
        </w:tc>
        <w:tc>
          <w:tcPr>
            <w:tcW w:w="360" w:type="dxa"/>
            <w:tcBorders>
              <w:top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tcBorders>
            <w:shd w:val="clear" w:color="auto" w:fill="auto"/>
            <w:vAlign w:val="center"/>
          </w:tcPr>
          <w:p w:rsidR="00C836B2" w:rsidRPr="00217FDE" w:rsidRDefault="000B7769" w:rsidP="000F102A">
            <w:pPr>
              <w:spacing w:after="0"/>
              <w:jc w:val="center"/>
              <w:rPr>
                <w:rFonts w:ascii="Times New Roman" w:hAnsi="Times New Roman" w:cs="Times New Roman"/>
                <w:sz w:val="18"/>
                <w:szCs w:val="18"/>
              </w:rPr>
            </w:pPr>
            <w:r>
              <w:rPr>
                <w:rFonts w:ascii="Times New Roman" w:hAnsi="Times New Roman" w:cs="Times New Roman"/>
                <w:sz w:val="18"/>
                <w:szCs w:val="18"/>
              </w:rPr>
              <w:t>X</w:t>
            </w:r>
          </w:p>
        </w:tc>
        <w:tc>
          <w:tcPr>
            <w:tcW w:w="990" w:type="dxa"/>
            <w:tcBorders>
              <w:top w:val="nil"/>
            </w:tcBorders>
            <w:vAlign w:val="center"/>
          </w:tcPr>
          <w:p w:rsidR="00C836B2" w:rsidRPr="00C836B2" w:rsidRDefault="00C836B2">
            <w:pPr>
              <w:spacing w:after="0"/>
              <w:jc w:val="center"/>
              <w:rPr>
                <w:rFonts w:ascii="Times New Roman" w:hAnsi="Times New Roman" w:cs="Times New Roman"/>
                <w:sz w:val="18"/>
                <w:szCs w:val="18"/>
              </w:rPr>
            </w:pPr>
            <w:r w:rsidRPr="004424E9">
              <w:rPr>
                <w:rFonts w:ascii="Times New Roman" w:hAnsi="Times New Roman" w:cs="Times New Roman"/>
                <w:sz w:val="18"/>
                <w:szCs w:val="18"/>
              </w:rPr>
              <w:t>(Consul</w:t>
            </w:r>
            <w:r w:rsidR="008D4B06">
              <w:rPr>
                <w:rFonts w:ascii="Times New Roman" w:hAnsi="Times New Roman" w:cs="Times New Roman"/>
                <w:sz w:val="18"/>
                <w:szCs w:val="18"/>
              </w:rPr>
              <w:t>-</w:t>
            </w:r>
            <w:proofErr w:type="spellStart"/>
            <w:r w:rsidRPr="004424E9">
              <w:rPr>
                <w:rFonts w:ascii="Times New Roman" w:hAnsi="Times New Roman" w:cs="Times New Roman"/>
                <w:sz w:val="18"/>
                <w:szCs w:val="18"/>
              </w:rPr>
              <w:t>tant</w:t>
            </w:r>
            <w:proofErr w:type="spellEnd"/>
            <w:r w:rsidRPr="004424E9">
              <w:rPr>
                <w:rFonts w:ascii="Times New Roman" w:hAnsi="Times New Roman" w:cs="Times New Roman"/>
                <w:sz w:val="18"/>
                <w:szCs w:val="18"/>
              </w:rPr>
              <w:t>/Firm)</w:t>
            </w:r>
          </w:p>
        </w:tc>
        <w:tc>
          <w:tcPr>
            <w:tcW w:w="810" w:type="dxa"/>
            <w:tcBorders>
              <w:top w:val="nil"/>
            </w:tcBorders>
            <w:vAlign w:val="center"/>
          </w:tcPr>
          <w:p w:rsidR="00C836B2" w:rsidRPr="004424E9" w:rsidRDefault="002527A8" w:rsidP="00772BBF">
            <w:pPr>
              <w:spacing w:after="0"/>
              <w:jc w:val="center"/>
              <w:rPr>
                <w:rFonts w:ascii="Times New Roman" w:hAnsi="Times New Roman" w:cs="Times New Roman"/>
                <w:b/>
                <w:sz w:val="18"/>
                <w:szCs w:val="18"/>
              </w:rPr>
            </w:pPr>
            <w:r w:rsidRPr="004424E9">
              <w:rPr>
                <w:rFonts w:ascii="Times New Roman" w:hAnsi="Times New Roman" w:cs="Times New Roman"/>
                <w:b/>
                <w:sz w:val="18"/>
                <w:szCs w:val="18"/>
              </w:rPr>
              <w:t>20,</w:t>
            </w:r>
            <w:r w:rsidR="000B7769" w:rsidRPr="004424E9">
              <w:rPr>
                <w:rFonts w:ascii="Times New Roman" w:hAnsi="Times New Roman" w:cs="Times New Roman"/>
                <w:b/>
                <w:sz w:val="18"/>
                <w:szCs w:val="18"/>
              </w:rPr>
              <w:t>000</w:t>
            </w:r>
          </w:p>
        </w:tc>
      </w:tr>
      <w:tr w:rsidR="008D4B06" w:rsidRPr="000B5407" w:rsidTr="004424E9">
        <w:tc>
          <w:tcPr>
            <w:tcW w:w="4068" w:type="dxa"/>
            <w:tcBorders>
              <w:top w:val="nil"/>
            </w:tcBorders>
            <w:vAlign w:val="center"/>
          </w:tcPr>
          <w:p w:rsidR="00C836B2" w:rsidRDefault="00C836B2" w:rsidP="00C836B2">
            <w:pPr>
              <w:spacing w:after="0"/>
              <w:rPr>
                <w:rFonts w:ascii="Times New Roman" w:hAnsi="Times New Roman" w:cs="Times New Roman"/>
                <w:b/>
                <w:sz w:val="18"/>
              </w:rPr>
            </w:pPr>
            <w:r>
              <w:rPr>
                <w:rFonts w:ascii="Times New Roman" w:hAnsi="Times New Roman" w:cs="Times New Roman"/>
                <w:b/>
                <w:sz w:val="20"/>
              </w:rPr>
              <w:t>Distribution and discussion of the report</w:t>
            </w:r>
          </w:p>
        </w:tc>
        <w:tc>
          <w:tcPr>
            <w:tcW w:w="360" w:type="dxa"/>
            <w:tcBorders>
              <w:top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tcBorders>
            <w:shd w:val="clear" w:color="auto" w:fill="auto"/>
            <w:vAlign w:val="center"/>
          </w:tcPr>
          <w:p w:rsidR="00C836B2" w:rsidRPr="00217FDE" w:rsidRDefault="00C836B2" w:rsidP="000F102A">
            <w:pPr>
              <w:spacing w:after="0"/>
              <w:jc w:val="center"/>
              <w:rPr>
                <w:rFonts w:ascii="Times New Roman" w:hAnsi="Times New Roman" w:cs="Times New Roman"/>
                <w:sz w:val="18"/>
                <w:szCs w:val="18"/>
              </w:rPr>
            </w:pPr>
          </w:p>
        </w:tc>
        <w:tc>
          <w:tcPr>
            <w:tcW w:w="360" w:type="dxa"/>
            <w:tcBorders>
              <w:top w:val="nil"/>
            </w:tcBorders>
            <w:shd w:val="clear" w:color="auto" w:fill="auto"/>
            <w:vAlign w:val="center"/>
          </w:tcPr>
          <w:p w:rsidR="00C836B2" w:rsidRPr="00217FDE" w:rsidRDefault="000B7769" w:rsidP="000F102A">
            <w:pPr>
              <w:spacing w:after="0"/>
              <w:jc w:val="center"/>
              <w:rPr>
                <w:rFonts w:ascii="Times New Roman" w:hAnsi="Times New Roman" w:cs="Times New Roman"/>
                <w:sz w:val="18"/>
                <w:szCs w:val="18"/>
              </w:rPr>
            </w:pPr>
            <w:r>
              <w:rPr>
                <w:rFonts w:ascii="Times New Roman" w:hAnsi="Times New Roman" w:cs="Times New Roman"/>
                <w:sz w:val="18"/>
                <w:szCs w:val="18"/>
              </w:rPr>
              <w:t>X</w:t>
            </w:r>
          </w:p>
        </w:tc>
        <w:tc>
          <w:tcPr>
            <w:tcW w:w="990" w:type="dxa"/>
            <w:tcBorders>
              <w:top w:val="nil"/>
            </w:tcBorders>
            <w:vAlign w:val="center"/>
          </w:tcPr>
          <w:p w:rsidR="00C836B2" w:rsidRPr="00217FDE" w:rsidRDefault="00C836B2" w:rsidP="000F102A">
            <w:pPr>
              <w:spacing w:after="0"/>
              <w:jc w:val="center"/>
              <w:rPr>
                <w:rFonts w:ascii="Times New Roman" w:hAnsi="Times New Roman" w:cs="Times New Roman"/>
                <w:sz w:val="18"/>
                <w:szCs w:val="18"/>
              </w:rPr>
            </w:pPr>
            <w:r w:rsidRPr="004424E9">
              <w:rPr>
                <w:rFonts w:ascii="Times New Roman" w:hAnsi="Times New Roman" w:cs="Times New Roman"/>
                <w:sz w:val="18"/>
                <w:szCs w:val="18"/>
              </w:rPr>
              <w:t>NAFIN/</w:t>
            </w:r>
            <w:r w:rsidR="008D4B06">
              <w:rPr>
                <w:rFonts w:ascii="Times New Roman" w:hAnsi="Times New Roman" w:cs="Times New Roman"/>
                <w:sz w:val="18"/>
                <w:szCs w:val="18"/>
              </w:rPr>
              <w:t xml:space="preserve"> </w:t>
            </w:r>
            <w:r w:rsidRPr="004424E9">
              <w:rPr>
                <w:rFonts w:ascii="Times New Roman" w:hAnsi="Times New Roman" w:cs="Times New Roman"/>
                <w:sz w:val="18"/>
                <w:szCs w:val="18"/>
              </w:rPr>
              <w:t>ID</w:t>
            </w:r>
            <w:r w:rsidR="008D4B06">
              <w:rPr>
                <w:rFonts w:ascii="Times New Roman" w:hAnsi="Times New Roman" w:cs="Times New Roman"/>
                <w:sz w:val="18"/>
                <w:szCs w:val="18"/>
              </w:rPr>
              <w:t>B</w:t>
            </w:r>
          </w:p>
        </w:tc>
        <w:tc>
          <w:tcPr>
            <w:tcW w:w="810" w:type="dxa"/>
            <w:tcBorders>
              <w:top w:val="nil"/>
            </w:tcBorders>
            <w:vAlign w:val="center"/>
          </w:tcPr>
          <w:p w:rsidR="00C836B2" w:rsidRPr="004424E9" w:rsidRDefault="000B7769" w:rsidP="00772BBF">
            <w:pPr>
              <w:spacing w:after="0"/>
              <w:jc w:val="center"/>
              <w:rPr>
                <w:rFonts w:ascii="Times New Roman" w:hAnsi="Times New Roman" w:cs="Times New Roman"/>
                <w:b/>
                <w:sz w:val="18"/>
                <w:szCs w:val="18"/>
              </w:rPr>
            </w:pPr>
            <w:r w:rsidRPr="004424E9">
              <w:rPr>
                <w:rFonts w:ascii="Times New Roman" w:hAnsi="Times New Roman" w:cs="Times New Roman"/>
                <w:b/>
                <w:sz w:val="18"/>
                <w:szCs w:val="18"/>
              </w:rPr>
              <w:t>5</w:t>
            </w:r>
            <w:r w:rsidR="002527A8" w:rsidRPr="004424E9">
              <w:rPr>
                <w:rFonts w:ascii="Times New Roman" w:hAnsi="Times New Roman" w:cs="Times New Roman"/>
                <w:b/>
                <w:sz w:val="18"/>
                <w:szCs w:val="18"/>
              </w:rPr>
              <w:t>,</w:t>
            </w:r>
            <w:r w:rsidRPr="004424E9">
              <w:rPr>
                <w:rFonts w:ascii="Times New Roman" w:hAnsi="Times New Roman" w:cs="Times New Roman"/>
                <w:b/>
                <w:sz w:val="18"/>
                <w:szCs w:val="18"/>
              </w:rPr>
              <w:t>000</w:t>
            </w:r>
          </w:p>
        </w:tc>
      </w:tr>
      <w:tr w:rsidR="008D4B06" w:rsidRPr="000B5407" w:rsidTr="004424E9">
        <w:trPr>
          <w:trHeight w:val="80"/>
        </w:trPr>
        <w:tc>
          <w:tcPr>
            <w:tcW w:w="4068" w:type="dxa"/>
            <w:tcBorders>
              <w:top w:val="single" w:sz="4" w:space="0" w:color="auto"/>
              <w:left w:val="nil"/>
              <w:bottom w:val="nil"/>
              <w:right w:val="nil"/>
            </w:tcBorders>
          </w:tcPr>
          <w:p w:rsidR="00C836B2" w:rsidRPr="005A4426" w:rsidRDefault="00C836B2" w:rsidP="000F102A">
            <w:pPr>
              <w:spacing w:after="0"/>
              <w:jc w:val="center"/>
              <w:rPr>
                <w:rFonts w:ascii="Times New Roman" w:hAnsi="Times New Roman" w:cs="Times New Roman"/>
                <w:b/>
                <w:sz w:val="20"/>
              </w:rPr>
            </w:pPr>
          </w:p>
        </w:tc>
        <w:tc>
          <w:tcPr>
            <w:tcW w:w="720" w:type="dxa"/>
            <w:gridSpan w:val="2"/>
            <w:tcBorders>
              <w:top w:val="single" w:sz="4" w:space="0" w:color="auto"/>
              <w:left w:val="nil"/>
              <w:bottom w:val="nil"/>
              <w:right w:val="nil"/>
            </w:tcBorders>
            <w:vAlign w:val="center"/>
          </w:tcPr>
          <w:p w:rsidR="00C836B2" w:rsidRPr="005A4426" w:rsidRDefault="00C836B2" w:rsidP="000F102A">
            <w:pPr>
              <w:spacing w:after="0"/>
              <w:jc w:val="center"/>
              <w:rPr>
                <w:rFonts w:ascii="Times New Roman" w:hAnsi="Times New Roman" w:cs="Times New Roman"/>
                <w:sz w:val="20"/>
              </w:rPr>
            </w:pPr>
          </w:p>
        </w:tc>
        <w:tc>
          <w:tcPr>
            <w:tcW w:w="720" w:type="dxa"/>
            <w:gridSpan w:val="2"/>
            <w:tcBorders>
              <w:top w:val="single" w:sz="4" w:space="0" w:color="auto"/>
              <w:left w:val="nil"/>
              <w:bottom w:val="nil"/>
              <w:right w:val="nil"/>
            </w:tcBorders>
            <w:vAlign w:val="center"/>
          </w:tcPr>
          <w:p w:rsidR="00C836B2" w:rsidRPr="005A4426" w:rsidRDefault="00C836B2" w:rsidP="000F102A">
            <w:pPr>
              <w:spacing w:after="0"/>
              <w:jc w:val="center"/>
              <w:rPr>
                <w:rFonts w:ascii="Times New Roman" w:hAnsi="Times New Roman" w:cs="Times New Roman"/>
                <w:sz w:val="20"/>
              </w:rPr>
            </w:pPr>
          </w:p>
        </w:tc>
        <w:tc>
          <w:tcPr>
            <w:tcW w:w="720" w:type="dxa"/>
            <w:gridSpan w:val="2"/>
            <w:tcBorders>
              <w:top w:val="single" w:sz="4" w:space="0" w:color="auto"/>
              <w:left w:val="nil"/>
              <w:bottom w:val="nil"/>
              <w:right w:val="nil"/>
            </w:tcBorders>
            <w:vAlign w:val="center"/>
          </w:tcPr>
          <w:p w:rsidR="00C836B2" w:rsidRPr="005A4426" w:rsidRDefault="00C836B2" w:rsidP="000F102A">
            <w:pPr>
              <w:spacing w:after="0"/>
              <w:jc w:val="center"/>
              <w:rPr>
                <w:rFonts w:ascii="Times New Roman" w:hAnsi="Times New Roman" w:cs="Times New Roman"/>
                <w:sz w:val="20"/>
              </w:rPr>
            </w:pPr>
          </w:p>
        </w:tc>
        <w:tc>
          <w:tcPr>
            <w:tcW w:w="720" w:type="dxa"/>
            <w:gridSpan w:val="2"/>
            <w:tcBorders>
              <w:top w:val="single" w:sz="4" w:space="0" w:color="auto"/>
              <w:left w:val="nil"/>
              <w:bottom w:val="nil"/>
              <w:right w:val="nil"/>
            </w:tcBorders>
            <w:vAlign w:val="center"/>
          </w:tcPr>
          <w:p w:rsidR="00C836B2" w:rsidRPr="005A4426" w:rsidRDefault="00C836B2" w:rsidP="000F102A">
            <w:pPr>
              <w:spacing w:after="0"/>
              <w:jc w:val="center"/>
              <w:rPr>
                <w:rFonts w:ascii="Times New Roman" w:hAnsi="Times New Roman" w:cs="Times New Roman"/>
                <w:sz w:val="20"/>
              </w:rPr>
            </w:pPr>
          </w:p>
        </w:tc>
        <w:tc>
          <w:tcPr>
            <w:tcW w:w="720" w:type="dxa"/>
            <w:gridSpan w:val="2"/>
            <w:tcBorders>
              <w:top w:val="single" w:sz="4" w:space="0" w:color="auto"/>
              <w:left w:val="nil"/>
              <w:bottom w:val="nil"/>
              <w:right w:val="nil"/>
            </w:tcBorders>
            <w:vAlign w:val="center"/>
          </w:tcPr>
          <w:p w:rsidR="00C836B2" w:rsidRPr="005A4426" w:rsidRDefault="00C836B2" w:rsidP="000F102A">
            <w:pPr>
              <w:spacing w:after="0"/>
              <w:jc w:val="center"/>
              <w:rPr>
                <w:rFonts w:ascii="Times New Roman" w:hAnsi="Times New Roman" w:cs="Times New Roman"/>
                <w:sz w:val="20"/>
              </w:rPr>
            </w:pPr>
          </w:p>
        </w:tc>
        <w:tc>
          <w:tcPr>
            <w:tcW w:w="1710" w:type="dxa"/>
            <w:gridSpan w:val="3"/>
            <w:tcBorders>
              <w:left w:val="single" w:sz="4" w:space="0" w:color="auto"/>
            </w:tcBorders>
            <w:vAlign w:val="center"/>
          </w:tcPr>
          <w:p w:rsidR="00C836B2" w:rsidRPr="00217FDE" w:rsidRDefault="00C836B2" w:rsidP="000F102A">
            <w:pPr>
              <w:spacing w:after="0"/>
              <w:jc w:val="center"/>
              <w:rPr>
                <w:rFonts w:ascii="Times New Roman" w:hAnsi="Times New Roman" w:cs="Times New Roman"/>
                <w:b/>
                <w:sz w:val="20"/>
                <w:szCs w:val="18"/>
              </w:rPr>
            </w:pPr>
            <w:r w:rsidRPr="00217FDE">
              <w:rPr>
                <w:rFonts w:ascii="Times New Roman" w:hAnsi="Times New Roman" w:cs="Times New Roman"/>
                <w:b/>
                <w:sz w:val="20"/>
                <w:szCs w:val="18"/>
              </w:rPr>
              <w:t>Total</w:t>
            </w:r>
          </w:p>
        </w:tc>
        <w:tc>
          <w:tcPr>
            <w:tcW w:w="810" w:type="dxa"/>
            <w:vAlign w:val="center"/>
          </w:tcPr>
          <w:p w:rsidR="00C836B2" w:rsidRPr="00217FDE" w:rsidRDefault="00BF4FC3" w:rsidP="00772BBF">
            <w:pPr>
              <w:spacing w:after="0"/>
              <w:jc w:val="center"/>
              <w:rPr>
                <w:rFonts w:ascii="Times New Roman" w:hAnsi="Times New Roman" w:cs="Times New Roman"/>
                <w:b/>
                <w:sz w:val="20"/>
                <w:szCs w:val="18"/>
              </w:rPr>
            </w:pPr>
            <w:r>
              <w:rPr>
                <w:rFonts w:ascii="Times New Roman" w:hAnsi="Times New Roman" w:cs="Times New Roman"/>
                <w:b/>
                <w:sz w:val="20"/>
                <w:szCs w:val="18"/>
              </w:rPr>
              <w:t>8</w:t>
            </w:r>
            <w:r w:rsidR="002527A8">
              <w:rPr>
                <w:rFonts w:ascii="Times New Roman" w:hAnsi="Times New Roman" w:cs="Times New Roman"/>
                <w:b/>
                <w:sz w:val="20"/>
                <w:szCs w:val="18"/>
              </w:rPr>
              <w:t>0,</w:t>
            </w:r>
            <w:r w:rsidR="00C836B2" w:rsidRPr="00217FDE">
              <w:rPr>
                <w:rFonts w:ascii="Times New Roman" w:hAnsi="Times New Roman" w:cs="Times New Roman"/>
                <w:b/>
                <w:sz w:val="20"/>
                <w:szCs w:val="18"/>
              </w:rPr>
              <w:t>000</w:t>
            </w:r>
          </w:p>
        </w:tc>
      </w:tr>
    </w:tbl>
    <w:p w:rsidR="00D85573" w:rsidRDefault="00D85573" w:rsidP="004424E9">
      <w:pPr>
        <w:pStyle w:val="Paragraph"/>
        <w:tabs>
          <w:tab w:val="clear" w:pos="720"/>
        </w:tabs>
        <w:ind w:left="0" w:firstLine="0"/>
        <w:rPr>
          <w:lang w:val="en-US"/>
        </w:rPr>
      </w:pPr>
    </w:p>
    <w:sectPr w:rsidR="00D8557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526" w:rsidRDefault="00B97526" w:rsidP="000B27AA">
      <w:pPr>
        <w:spacing w:after="0" w:line="240" w:lineRule="auto"/>
      </w:pPr>
      <w:r>
        <w:separator/>
      </w:r>
    </w:p>
  </w:endnote>
  <w:endnote w:type="continuationSeparator" w:id="0">
    <w:p w:rsidR="00B97526" w:rsidRDefault="00B97526" w:rsidP="000B2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526" w:rsidRDefault="00B97526">
    <w:pPr>
      <w:pStyle w:val="Footer"/>
      <w:jc w:val="right"/>
    </w:pPr>
    <w:r>
      <w:fldChar w:fldCharType="begin"/>
    </w:r>
    <w:r>
      <w:instrText xml:space="preserve"> PAGE   \* MERGEFORMAT </w:instrText>
    </w:r>
    <w:r>
      <w:fldChar w:fldCharType="separate"/>
    </w:r>
    <w:r w:rsidR="00A73D28">
      <w:rPr>
        <w:noProof/>
      </w:rPr>
      <w:t>1</w:t>
    </w:r>
    <w:r>
      <w:fldChar w:fldCharType="end"/>
    </w:r>
  </w:p>
  <w:p w:rsidR="00B97526" w:rsidRDefault="00B975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526" w:rsidRDefault="00B97526" w:rsidP="000B27AA">
      <w:pPr>
        <w:spacing w:after="0" w:line="240" w:lineRule="auto"/>
      </w:pPr>
      <w:r>
        <w:separator/>
      </w:r>
    </w:p>
  </w:footnote>
  <w:footnote w:type="continuationSeparator" w:id="0">
    <w:p w:rsidR="00B97526" w:rsidRDefault="00B97526" w:rsidP="000B27AA">
      <w:pPr>
        <w:spacing w:after="0" w:line="240" w:lineRule="auto"/>
      </w:pPr>
      <w:r>
        <w:continuationSeparator/>
      </w:r>
    </w:p>
  </w:footnote>
  <w:footnote w:id="1">
    <w:p w:rsidR="00B97526" w:rsidRDefault="00B97526" w:rsidP="00444420">
      <w:pPr>
        <w:pStyle w:val="FootnoteText"/>
        <w:spacing w:after="0"/>
      </w:pPr>
      <w:r>
        <w:rPr>
          <w:rStyle w:val="FootnoteReference"/>
        </w:rPr>
        <w:footnoteRef/>
      </w:r>
      <w:r>
        <w:t xml:space="preserve"> </w:t>
      </w:r>
      <w:hyperlink r:id="rId1" w:history="1">
        <w:r>
          <w:rPr>
            <w:rStyle w:val="Hyperlink"/>
          </w:rPr>
          <w:t>Ley General de Cambio Climático</w:t>
        </w:r>
      </w:hyperlink>
      <w:r>
        <w:t>, 2012.</w:t>
      </w:r>
    </w:p>
  </w:footnote>
  <w:footnote w:id="2">
    <w:p w:rsidR="00B97526" w:rsidRDefault="00B97526" w:rsidP="00444420">
      <w:pPr>
        <w:pStyle w:val="FootnoteText"/>
        <w:spacing w:after="0"/>
        <w:rPr>
          <w:lang w:val="en-US"/>
        </w:rPr>
      </w:pPr>
      <w:r>
        <w:rPr>
          <w:rStyle w:val="FootnoteReference"/>
        </w:rPr>
        <w:footnoteRef/>
      </w:r>
      <w:r>
        <w:rPr>
          <w:lang w:val="es-ES"/>
        </w:rPr>
        <w:t xml:space="preserve"> INECC. </w:t>
      </w:r>
      <w:hyperlink r:id="rId2" w:history="1">
        <w:r>
          <w:rPr>
            <w:rStyle w:val="Hyperlink"/>
            <w:lang w:val="es-ES"/>
          </w:rPr>
          <w:t>Bases para una estrategia de desarrollo bajo en emisiones de México</w:t>
        </w:r>
      </w:hyperlink>
      <w:r>
        <w:rPr>
          <w:lang w:val="es-ES"/>
        </w:rPr>
        <w:t xml:space="preserve">. </w:t>
      </w:r>
      <w:r w:rsidRPr="00DB4BA1">
        <w:rPr>
          <w:lang w:val="en-US"/>
        </w:rPr>
        <w:t>2012.</w:t>
      </w:r>
    </w:p>
  </w:footnote>
  <w:footnote w:id="3">
    <w:p w:rsidR="00B97526" w:rsidRPr="00BB0280" w:rsidRDefault="00B97526" w:rsidP="00BB0280">
      <w:pPr>
        <w:pStyle w:val="FootnoteText"/>
        <w:spacing w:after="0"/>
        <w:rPr>
          <w:lang w:val="en-US"/>
        </w:rPr>
      </w:pPr>
      <w:r>
        <w:rPr>
          <w:rStyle w:val="FootnoteReference"/>
        </w:rPr>
        <w:footnoteRef/>
      </w:r>
      <w:r w:rsidRPr="00BB0280">
        <w:rPr>
          <w:lang w:val="en-US"/>
        </w:rPr>
        <w:t xml:space="preserve"> The Mexican government has designated NAFIN as one of the entities that will support its emission reduction efforts, mainly through their </w:t>
      </w:r>
      <w:proofErr w:type="spellStart"/>
      <w:r w:rsidRPr="00BB0280">
        <w:rPr>
          <w:i/>
          <w:lang w:val="en-US"/>
        </w:rPr>
        <w:t>Direccion</w:t>
      </w:r>
      <w:proofErr w:type="spellEnd"/>
      <w:r w:rsidRPr="00BB0280">
        <w:rPr>
          <w:i/>
          <w:lang w:val="en-US"/>
        </w:rPr>
        <w:t xml:space="preserve"> de </w:t>
      </w:r>
      <w:proofErr w:type="spellStart"/>
      <w:r w:rsidRPr="00BB0280">
        <w:rPr>
          <w:i/>
          <w:lang w:val="en-US"/>
        </w:rPr>
        <w:t>Proyectos</w:t>
      </w:r>
      <w:proofErr w:type="spellEnd"/>
      <w:r w:rsidRPr="00BB0280">
        <w:rPr>
          <w:i/>
          <w:lang w:val="en-US"/>
        </w:rPr>
        <w:t xml:space="preserve"> </w:t>
      </w:r>
      <w:proofErr w:type="spellStart"/>
      <w:r w:rsidRPr="00BB0280">
        <w:rPr>
          <w:i/>
          <w:lang w:val="en-US"/>
        </w:rPr>
        <w:t>Sustentables</w:t>
      </w:r>
      <w:proofErr w:type="spellEnd"/>
      <w:r w:rsidRPr="00BB0280">
        <w:rPr>
          <w:lang w:val="en-US"/>
        </w:rPr>
        <w:t>.</w:t>
      </w:r>
    </w:p>
  </w:footnote>
  <w:footnote w:id="4">
    <w:p w:rsidR="00B97526" w:rsidRPr="00BB0280" w:rsidRDefault="00B97526" w:rsidP="00BB0280">
      <w:pPr>
        <w:pStyle w:val="FootnoteText"/>
        <w:spacing w:after="0"/>
        <w:ind w:left="187" w:hanging="187"/>
        <w:rPr>
          <w:lang w:val="en-US"/>
        </w:rPr>
      </w:pPr>
      <w:r>
        <w:rPr>
          <w:rStyle w:val="FootnoteReference"/>
        </w:rPr>
        <w:footnoteRef/>
      </w:r>
      <w:r w:rsidRPr="00BB0280">
        <w:rPr>
          <w:lang w:val="en-US"/>
        </w:rPr>
        <w:t xml:space="preserve"> In August 2013 the IDB granted US$135,000 of </w:t>
      </w:r>
      <w:proofErr w:type="spellStart"/>
      <w:r w:rsidRPr="00BB0280">
        <w:rPr>
          <w:lang w:val="en-US"/>
        </w:rPr>
        <w:t>nonreimbursable</w:t>
      </w:r>
      <w:proofErr w:type="spellEnd"/>
      <w:r w:rsidRPr="00BB0280">
        <w:rPr>
          <w:lang w:val="en-US"/>
        </w:rPr>
        <w:t xml:space="preserve"> funds to NAFIN as part of the Regional TC ATN/MC-13341-RG (see ¶</w:t>
      </w:r>
      <w:r>
        <w:fldChar w:fldCharType="begin"/>
      </w:r>
      <w:r w:rsidRPr="00BB0280">
        <w:rPr>
          <w:lang w:val="en-US"/>
        </w:rPr>
        <w:instrText xml:space="preserve"> REF _Ref371526691 \r \h </w:instrText>
      </w:r>
      <w:r>
        <w:fldChar w:fldCharType="separate"/>
      </w:r>
      <w:r>
        <w:rPr>
          <w:lang w:val="en-US"/>
        </w:rPr>
        <w:t>3.8</w:t>
      </w:r>
      <w:r>
        <w:fldChar w:fldCharType="end"/>
      </w:r>
      <w:r w:rsidRPr="00BB0280">
        <w:rPr>
          <w:lang w:val="en-US"/>
        </w:rPr>
        <w:t>).</w:t>
      </w:r>
    </w:p>
  </w:footnote>
  <w:footnote w:id="5">
    <w:p w:rsidR="00B97526" w:rsidRPr="00BB0280" w:rsidRDefault="00B97526" w:rsidP="00BB0280">
      <w:pPr>
        <w:pStyle w:val="FootnoteText"/>
        <w:spacing w:after="0"/>
        <w:ind w:left="187" w:hanging="187"/>
        <w:rPr>
          <w:lang w:val="en-US"/>
        </w:rPr>
      </w:pPr>
      <w:r>
        <w:rPr>
          <w:rStyle w:val="FootnoteReference"/>
        </w:rPr>
        <w:footnoteRef/>
      </w:r>
      <w:r w:rsidRPr="00BB0280">
        <w:rPr>
          <w:lang w:val="en-US"/>
        </w:rPr>
        <w:t xml:space="preserve"> To this date, the results of these operations include: US$5,371 million investment in electricity generation from RE detonated, US$440 million of financing by third parties mobilized, 2,622 MW of RE installed capacity financed, and participation 13 financial intermediaries.</w:t>
      </w:r>
    </w:p>
  </w:footnote>
  <w:footnote w:id="6">
    <w:p w:rsidR="00B97526" w:rsidRPr="004424E9" w:rsidRDefault="00B97526" w:rsidP="004424E9">
      <w:pPr>
        <w:pStyle w:val="FootnoteText"/>
        <w:spacing w:after="0"/>
        <w:rPr>
          <w:lang w:val="en-US"/>
        </w:rPr>
      </w:pPr>
      <w:r>
        <w:rPr>
          <w:rStyle w:val="FootnoteReference"/>
        </w:rPr>
        <w:footnoteRef/>
      </w:r>
      <w:r w:rsidRPr="004424E9">
        <w:rPr>
          <w:lang w:val="en-US"/>
        </w:rPr>
        <w:t xml:space="preserve"> All figures are accumulated.</w:t>
      </w:r>
    </w:p>
  </w:footnote>
  <w:footnote w:id="7">
    <w:p w:rsidR="00B97526" w:rsidRPr="004424E9" w:rsidRDefault="00B97526" w:rsidP="00304EEA">
      <w:pPr>
        <w:pStyle w:val="FootnoteText"/>
        <w:spacing w:after="0"/>
        <w:rPr>
          <w:lang w:val="en-US"/>
        </w:rPr>
      </w:pPr>
      <w:r>
        <w:rPr>
          <w:rStyle w:val="FootnoteReference"/>
        </w:rPr>
        <w:footnoteRef/>
      </w:r>
      <w:r w:rsidRPr="004424E9">
        <w:rPr>
          <w:lang w:val="en-US"/>
        </w:rPr>
        <w:t xml:space="preserve"> </w:t>
      </w:r>
      <w:proofErr w:type="gramStart"/>
      <w:r>
        <w:rPr>
          <w:lang w:val="en-US"/>
        </w:rPr>
        <w:t>Includes travel and per diem costs of required supervision missions.</w:t>
      </w:r>
      <w:proofErr w:type="gramEnd"/>
      <w:r>
        <w:rPr>
          <w:lang w:val="en-US"/>
        </w:rPr>
        <w:t xml:space="preserve">                                                                                                              </w:t>
      </w:r>
    </w:p>
  </w:footnote>
  <w:footnote w:id="8">
    <w:p w:rsidR="00B97526" w:rsidRPr="004424E9" w:rsidRDefault="00B97526" w:rsidP="004424E9">
      <w:pPr>
        <w:pStyle w:val="FootnoteText"/>
        <w:spacing w:after="0"/>
        <w:rPr>
          <w:lang w:val="en-US"/>
        </w:rPr>
      </w:pPr>
      <w:r>
        <w:rPr>
          <w:rStyle w:val="FootnoteReference"/>
        </w:rPr>
        <w:footnoteRef/>
      </w:r>
      <w:r w:rsidRPr="004424E9">
        <w:rPr>
          <w:lang w:val="en-US"/>
        </w:rPr>
        <w:t xml:space="preserve"> </w:t>
      </w:r>
      <w:r w:rsidRPr="00772BBF">
        <w:rPr>
          <w:lang w:val="en-US"/>
        </w:rPr>
        <w:t>Due to the long-term nature of geothermal project development, some of the results will only happen after the end of the execution period. A long-term target is set for a timeframe of ten years from the beginning of the program</w:t>
      </w:r>
      <w:r>
        <w:rPr>
          <w:lang w:val="en-US"/>
        </w:rPr>
        <w:t xml:space="preserve"> (see Annex II: Results Matrix)</w:t>
      </w:r>
      <w:r w:rsidRPr="00772BBF">
        <w:rPr>
          <w:lang w:val="en-US"/>
        </w:rPr>
        <w:t>.</w:t>
      </w:r>
    </w:p>
  </w:footnote>
  <w:footnote w:id="9">
    <w:p w:rsidR="00B97526" w:rsidRPr="004424E9" w:rsidRDefault="00B97526" w:rsidP="004424E9">
      <w:pPr>
        <w:pStyle w:val="FootnoteText"/>
        <w:spacing w:after="0"/>
        <w:rPr>
          <w:lang w:val="en-US"/>
        </w:rPr>
      </w:pPr>
      <w:r w:rsidRPr="004424E9">
        <w:rPr>
          <w:rStyle w:val="FootnoteReference"/>
        </w:rPr>
        <w:footnoteRef/>
      </w:r>
      <w:r w:rsidRPr="004424E9">
        <w:rPr>
          <w:lang w:val="en-US"/>
        </w:rPr>
        <w:t xml:space="preserve"> </w:t>
      </w:r>
      <w:proofErr w:type="gramStart"/>
      <w:r w:rsidRPr="004424E9">
        <w:rPr>
          <w:lang w:val="en-US"/>
        </w:rPr>
        <w:t>IDB Private Sector.</w:t>
      </w:r>
      <w:proofErr w:type="gramEnd"/>
      <w:r w:rsidRPr="004424E9">
        <w:rPr>
          <w:lang w:val="en-US"/>
        </w:rPr>
        <w:t xml:space="preserve"> </w:t>
      </w:r>
      <w:proofErr w:type="gramStart"/>
      <w:r w:rsidRPr="004424E9">
        <w:rPr>
          <w:lang w:val="en-US"/>
        </w:rPr>
        <w:t>CTF Proposal.</w:t>
      </w:r>
      <w:proofErr w:type="gramEnd"/>
      <w:r w:rsidRPr="004424E9">
        <w:rPr>
          <w:lang w:val="en-US"/>
        </w:rPr>
        <w:t xml:space="preserve"> </w:t>
      </w:r>
    </w:p>
  </w:footnote>
  <w:footnote w:id="10">
    <w:p w:rsidR="00B97526" w:rsidRPr="004424E9" w:rsidRDefault="00B97526" w:rsidP="004424E9">
      <w:pPr>
        <w:pStyle w:val="FootnoteText"/>
        <w:spacing w:after="0"/>
        <w:rPr>
          <w:lang w:val="en-US"/>
        </w:rPr>
      </w:pPr>
      <w:r w:rsidRPr="004424E9">
        <w:rPr>
          <w:rStyle w:val="FootnoteReference"/>
        </w:rPr>
        <w:footnoteRef/>
      </w:r>
      <w:r w:rsidRPr="004424E9">
        <w:rPr>
          <w:lang w:val="en-US"/>
        </w:rPr>
        <w:t xml:space="preserve"> See </w:t>
      </w:r>
      <w:hyperlink r:id="rId3" w:history="1">
        <w:r w:rsidRPr="004424E9">
          <w:rPr>
            <w:rStyle w:val="Hyperlink"/>
            <w:lang w:val="en-US"/>
          </w:rPr>
          <w:t>Optional Link: Cost Benefit Analysis</w:t>
        </w:r>
      </w:hyperlink>
    </w:p>
  </w:footnote>
  <w:footnote w:id="11">
    <w:p w:rsidR="00B97526" w:rsidRPr="00D609AB" w:rsidRDefault="00B97526" w:rsidP="008938B6">
      <w:pPr>
        <w:pStyle w:val="FootnoteText"/>
        <w:spacing w:after="0"/>
        <w:rPr>
          <w:lang w:val="en-US"/>
        </w:rPr>
      </w:pPr>
      <w:r>
        <w:rPr>
          <w:rStyle w:val="FootnoteReference"/>
        </w:rPr>
        <w:footnoteRef/>
      </w:r>
      <w:r w:rsidRPr="00D609AB">
        <w:rPr>
          <w:lang w:val="en-US"/>
        </w:rPr>
        <w:t xml:space="preserve"> These interventions have contributed to wind sources having already gained momentum. Wind installed capacity in Mexico has risen from levels below 100 MW in 2006-08, to almost 600 MW in 2011 and over 1,000 MW in 2012. According to the </w:t>
      </w:r>
      <w:proofErr w:type="spellStart"/>
      <w:r w:rsidRPr="00D609AB">
        <w:rPr>
          <w:lang w:val="en-US"/>
        </w:rPr>
        <w:t>Asociacion</w:t>
      </w:r>
      <w:proofErr w:type="spellEnd"/>
      <w:r w:rsidRPr="00D609AB">
        <w:rPr>
          <w:lang w:val="en-US"/>
        </w:rPr>
        <w:t xml:space="preserve"> Mexicana de </w:t>
      </w:r>
      <w:proofErr w:type="spellStart"/>
      <w:r w:rsidRPr="00D609AB">
        <w:rPr>
          <w:lang w:val="en-US"/>
        </w:rPr>
        <w:t>Energia</w:t>
      </w:r>
      <w:proofErr w:type="spellEnd"/>
      <w:r w:rsidRPr="00D609AB">
        <w:rPr>
          <w:lang w:val="en-US"/>
        </w:rPr>
        <w:t xml:space="preserve"> </w:t>
      </w:r>
      <w:proofErr w:type="spellStart"/>
      <w:r w:rsidRPr="00D609AB">
        <w:rPr>
          <w:lang w:val="en-US"/>
        </w:rPr>
        <w:t>Eolica</w:t>
      </w:r>
      <w:proofErr w:type="spellEnd"/>
      <w:r w:rsidRPr="00D609AB">
        <w:rPr>
          <w:lang w:val="en-US"/>
        </w:rPr>
        <w:t xml:space="preserve"> (AMDEE) this is the result of a combination of factors, including the existence and availability of sources of financing, a solid legal and regulatory framework, and the high efficiency of the plants due to the quality of the resource in the country. Production costs have decreased significantly during the last 15 years, becoming competitive with conventional sources of energy (PwC, citing AMDEE).</w:t>
      </w:r>
    </w:p>
  </w:footnote>
  <w:footnote w:id="12">
    <w:p w:rsidR="00B97526" w:rsidRPr="005E16A6" w:rsidRDefault="00B97526" w:rsidP="00FB7282">
      <w:pPr>
        <w:pStyle w:val="FootnoteText"/>
        <w:rPr>
          <w:lang w:val="en-US"/>
        </w:rPr>
      </w:pPr>
      <w:r>
        <w:rPr>
          <w:rStyle w:val="FootnoteReference"/>
        </w:rPr>
        <w:footnoteRef/>
      </w:r>
      <w:r w:rsidRPr="005E16A6">
        <w:rPr>
          <w:lang w:val="en-US"/>
        </w:rPr>
        <w:t xml:space="preserve"> All figures are accumulated.</w:t>
      </w:r>
    </w:p>
  </w:footnote>
  <w:footnote w:id="13">
    <w:p w:rsidR="00B97526" w:rsidRPr="00323745" w:rsidRDefault="00B97526" w:rsidP="00FD41F8">
      <w:pPr>
        <w:pStyle w:val="FootnoteText"/>
        <w:rPr>
          <w:lang w:val="en-US"/>
        </w:rPr>
      </w:pPr>
      <w:r>
        <w:rPr>
          <w:rStyle w:val="FootnoteReference"/>
        </w:rPr>
        <w:footnoteRef/>
      </w:r>
      <w:r w:rsidRPr="00323745">
        <w:rPr>
          <w:lang w:val="en-US"/>
        </w:rPr>
        <w:t xml:space="preserve"> For further information, see </w:t>
      </w:r>
      <w:hyperlink r:id="rId4" w:history="1">
        <w:r w:rsidRPr="00FD41F8">
          <w:rPr>
            <w:rStyle w:val="Hyperlink"/>
            <w:lang w:val="en-US"/>
          </w:rPr>
          <w:t>Optional Link: Cost Benefit Analysis</w:t>
        </w:r>
      </w:hyperlink>
      <w:r>
        <w:rPr>
          <w:lang w:val="en-US"/>
        </w:rPr>
        <w:t>.</w:t>
      </w:r>
      <w:r w:rsidRPr="00323745">
        <w:rPr>
          <w:lang w:val="en-US"/>
        </w:rPr>
        <w:t xml:space="preserve"> </w:t>
      </w:r>
    </w:p>
  </w:footnote>
  <w:footnote w:id="14">
    <w:p w:rsidR="00B97526" w:rsidRPr="004424E9" w:rsidRDefault="00B97526" w:rsidP="004424E9">
      <w:pPr>
        <w:pStyle w:val="FootnoteText"/>
        <w:spacing w:after="0"/>
        <w:rPr>
          <w:lang w:val="en-US"/>
        </w:rPr>
      </w:pPr>
      <w:r>
        <w:rPr>
          <w:rStyle w:val="FootnoteReference"/>
        </w:rPr>
        <w:footnoteRef/>
      </w:r>
      <w:r w:rsidRPr="004424E9">
        <w:rPr>
          <w:lang w:val="en-US"/>
        </w:rPr>
        <w:t xml:space="preserve"> </w:t>
      </w:r>
      <w:r>
        <w:rPr>
          <w:lang w:val="en-US"/>
        </w:rPr>
        <w:t>The methodology considers comparing only to other renewables, as fossil fueled energy production costs do not consider the negative externalities that come with the use of them.</w:t>
      </w:r>
    </w:p>
  </w:footnote>
  <w:footnote w:id="15">
    <w:p w:rsidR="00B97526" w:rsidRPr="004424E9" w:rsidRDefault="00B97526" w:rsidP="004424E9">
      <w:pPr>
        <w:pStyle w:val="FootnoteText"/>
        <w:spacing w:after="0"/>
        <w:rPr>
          <w:lang w:val="es-ES"/>
        </w:rPr>
      </w:pPr>
      <w:r>
        <w:rPr>
          <w:rStyle w:val="FootnoteReference"/>
        </w:rPr>
        <w:footnoteRef/>
      </w:r>
      <w:r w:rsidRPr="004424E9">
        <w:rPr>
          <w:lang w:val="es-ES"/>
        </w:rPr>
        <w:t xml:space="preserve"> CFE. Sector Eléctrico Nacional. </w:t>
      </w:r>
    </w:p>
  </w:footnote>
  <w:footnote w:id="16">
    <w:p w:rsidR="00B97526" w:rsidRPr="004424E9" w:rsidRDefault="00B97526">
      <w:pPr>
        <w:pStyle w:val="FootnoteText"/>
        <w:spacing w:after="0"/>
        <w:rPr>
          <w:rFonts w:eastAsiaTheme="minorEastAsia"/>
          <w:lang w:val="en-US" w:eastAsia="en-US"/>
        </w:rPr>
      </w:pPr>
      <w:r>
        <w:rPr>
          <w:rStyle w:val="FootnoteReference"/>
        </w:rPr>
        <w:footnoteRef/>
      </w:r>
      <w:r>
        <w:rPr>
          <w:lang w:val="es-ES"/>
        </w:rPr>
        <w:t xml:space="preserve"> CFE. </w:t>
      </w:r>
      <w:hyperlink r:id="rId5" w:history="1">
        <w:r>
          <w:rPr>
            <w:rStyle w:val="Hyperlink"/>
            <w:lang w:val="es-ES"/>
          </w:rPr>
          <w:t>Sector Eléctrico Nacional. Generación Bruta.</w:t>
        </w:r>
      </w:hyperlink>
      <w:r>
        <w:rPr>
          <w:lang w:val="es-ES"/>
        </w:rPr>
        <w:t xml:space="preserve"> </w:t>
      </w:r>
      <w:r w:rsidRPr="004424E9">
        <w:rPr>
          <w:lang w:val="en-US"/>
        </w:rPr>
        <w:t>2012.</w:t>
      </w:r>
    </w:p>
  </w:footnote>
  <w:footnote w:id="17">
    <w:p w:rsidR="00B97526" w:rsidRPr="004424E9" w:rsidRDefault="00B97526" w:rsidP="004424E9">
      <w:pPr>
        <w:pStyle w:val="FootnoteText"/>
        <w:spacing w:after="0"/>
        <w:rPr>
          <w:lang w:val="en-US"/>
        </w:rPr>
      </w:pPr>
      <w:r>
        <w:rPr>
          <w:rStyle w:val="FootnoteReference"/>
        </w:rPr>
        <w:footnoteRef/>
      </w:r>
      <w:r w:rsidRPr="004424E9">
        <w:rPr>
          <w:lang w:val="en-US"/>
        </w:rPr>
        <w:t xml:space="preserve"> </w:t>
      </w:r>
      <w:r>
        <w:rPr>
          <w:lang w:val="en-US"/>
        </w:rPr>
        <w:t>By representative we mean plants with the same net energy generation installed.</w:t>
      </w:r>
    </w:p>
  </w:footnote>
  <w:footnote w:id="18">
    <w:p w:rsidR="00B97526" w:rsidRPr="004424E9" w:rsidRDefault="00B97526" w:rsidP="004424E9">
      <w:pPr>
        <w:pStyle w:val="FootnoteText"/>
        <w:spacing w:after="0"/>
        <w:ind w:left="0" w:firstLine="0"/>
        <w:rPr>
          <w:lang w:val="en-US"/>
        </w:rPr>
      </w:pPr>
      <w:r>
        <w:rPr>
          <w:rStyle w:val="FootnoteReference"/>
        </w:rPr>
        <w:footnoteRef/>
      </w:r>
      <w:r>
        <w:rPr>
          <w:lang w:val="en-US"/>
        </w:rPr>
        <w:t xml:space="preserve"> The total cost (investment, fuel, water, O&amp;M) of the plants can be obtained from the annual document COPAR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D1EF7"/>
    <w:multiLevelType w:val="multilevel"/>
    <w:tmpl w:val="098C9E7E"/>
    <w:lvl w:ilvl="0">
      <w:start w:val="1"/>
      <w:numFmt w:val="upperRoman"/>
      <w:lvlRestart w:val="0"/>
      <w:lvlText w:val="%1."/>
      <w:lvlJc w:val="center"/>
      <w:pPr>
        <w:tabs>
          <w:tab w:val="num" w:pos="1170"/>
        </w:tabs>
        <w:ind w:left="522" w:firstLine="288"/>
      </w:pPr>
      <w:rPr>
        <w:rFonts w:cs="Times New Roman" w:hint="default"/>
        <w:b/>
        <w:i w:val="0"/>
      </w:rPr>
    </w:lvl>
    <w:lvl w:ilvl="1">
      <w:start w:val="1"/>
      <w:numFmt w:val="decimal"/>
      <w:pStyle w:val="TOC7"/>
      <w:isLgl/>
      <w:lvlText w:val="%1.%2"/>
      <w:lvlJc w:val="left"/>
      <w:pPr>
        <w:tabs>
          <w:tab w:val="num" w:pos="1386"/>
        </w:tabs>
        <w:ind w:left="720" w:hanging="630"/>
      </w:pPr>
      <w:rPr>
        <w:rFonts w:cs="Times New Roman" w:hint="default"/>
        <w:b w:val="0"/>
      </w:rPr>
    </w:lvl>
    <w:lvl w:ilvl="2">
      <w:start w:val="1"/>
      <w:numFmt w:val="lowerLetter"/>
      <w:pStyle w:val="TOC9"/>
      <w:lvlText w:val="%3."/>
      <w:lvlJc w:val="left"/>
      <w:pPr>
        <w:tabs>
          <w:tab w:val="num" w:pos="1674"/>
        </w:tabs>
        <w:ind w:left="1674" w:hanging="432"/>
      </w:pPr>
      <w:rPr>
        <w:rFonts w:cs="Times New Roman" w:hint="default"/>
      </w:rPr>
    </w:lvl>
    <w:lvl w:ilvl="3">
      <w:start w:val="1"/>
      <w:numFmt w:val="lowerRoman"/>
      <w:pStyle w:val="CommentText"/>
      <w:lvlText w:val="%4."/>
      <w:lvlJc w:val="right"/>
      <w:pPr>
        <w:tabs>
          <w:tab w:val="num" w:pos="2106"/>
        </w:tabs>
        <w:ind w:left="2106" w:hanging="288"/>
      </w:pPr>
      <w:rPr>
        <w:rFonts w:cs="Times New Roman" w:hint="default"/>
      </w:rPr>
    </w:lvl>
    <w:lvl w:ilvl="4">
      <w:start w:val="1"/>
      <w:numFmt w:val="decimal"/>
      <w:lvlText w:val="%1.%2.%3.%4.%5"/>
      <w:lvlJc w:val="left"/>
      <w:pPr>
        <w:ind w:left="1530" w:hanging="1008"/>
      </w:pPr>
      <w:rPr>
        <w:rFonts w:cs="Times New Roman" w:hint="default"/>
      </w:rPr>
    </w:lvl>
    <w:lvl w:ilvl="5">
      <w:start w:val="1"/>
      <w:numFmt w:val="decimal"/>
      <w:lvlText w:val="%1.%2.%3.%4.%5.%6"/>
      <w:lvlJc w:val="left"/>
      <w:pPr>
        <w:ind w:left="1674" w:hanging="1152"/>
      </w:pPr>
      <w:rPr>
        <w:rFonts w:cs="Times New Roman" w:hint="default"/>
      </w:rPr>
    </w:lvl>
    <w:lvl w:ilvl="6">
      <w:start w:val="1"/>
      <w:numFmt w:val="decimal"/>
      <w:lvlText w:val="%1.%2.%3.%4.%5.%6.%7"/>
      <w:lvlJc w:val="left"/>
      <w:pPr>
        <w:ind w:left="1818" w:hanging="1296"/>
      </w:pPr>
      <w:rPr>
        <w:rFonts w:cs="Times New Roman" w:hint="default"/>
      </w:rPr>
    </w:lvl>
    <w:lvl w:ilvl="7">
      <w:start w:val="1"/>
      <w:numFmt w:val="decimal"/>
      <w:lvlText w:val="%1.%2.%3.%4.%5.%6.%7.%8"/>
      <w:lvlJc w:val="left"/>
      <w:pPr>
        <w:ind w:left="1962" w:hanging="1440"/>
      </w:pPr>
      <w:rPr>
        <w:rFonts w:cs="Times New Roman" w:hint="default"/>
      </w:rPr>
    </w:lvl>
    <w:lvl w:ilvl="8">
      <w:start w:val="1"/>
      <w:numFmt w:val="decimal"/>
      <w:lvlText w:val="%1.%2.%3.%4.%5.%6.%7.%8.%9"/>
      <w:lvlJc w:val="left"/>
      <w:pPr>
        <w:ind w:left="2106" w:hanging="1584"/>
      </w:pPr>
      <w:rPr>
        <w:rFonts w:cs="Times New Roman" w:hint="default"/>
      </w:rPr>
    </w:lvl>
  </w:abstractNum>
  <w:abstractNum w:abstractNumId="1">
    <w:nsid w:val="152B53D2"/>
    <w:multiLevelType w:val="hybridMultilevel"/>
    <w:tmpl w:val="FFC86486"/>
    <w:lvl w:ilvl="0" w:tplc="04090019">
      <w:start w:val="1"/>
      <w:numFmt w:val="lowerLetter"/>
      <w:lvlText w:val="%1."/>
      <w:lvlJc w:val="left"/>
      <w:pPr>
        <w:ind w:left="2160" w:hanging="360"/>
      </w:pPr>
      <w:rPr>
        <w:rFonts w:hint="default"/>
      </w:rPr>
    </w:lvl>
    <w:lvl w:ilvl="1" w:tplc="B770D05E">
      <w:start w:val="1"/>
      <w:numFmt w:val="lowerRoman"/>
      <w:lvlText w:val="%2."/>
      <w:lvlJc w:val="right"/>
      <w:pPr>
        <w:ind w:left="2880" w:hanging="360"/>
      </w:pPr>
      <w:rPr>
        <w:rFonts w:ascii="Times New Roman" w:hAnsi="Times New Roman" w:cs="Times New Roman" w:hint="default"/>
        <w:b/>
      </w:r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2">
    <w:nsid w:val="18954677"/>
    <w:multiLevelType w:val="hybridMultilevel"/>
    <w:tmpl w:val="9E36F9EE"/>
    <w:lvl w:ilvl="0" w:tplc="B46C3034">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254C1D8F"/>
    <w:multiLevelType w:val="hybridMultilevel"/>
    <w:tmpl w:val="7FCC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3A4BCA"/>
    <w:multiLevelType w:val="hybridMultilevel"/>
    <w:tmpl w:val="80BE6BA0"/>
    <w:lvl w:ilvl="0" w:tplc="04090019">
      <w:start w:val="1"/>
      <w:numFmt w:val="lowerLetter"/>
      <w:lvlText w:val="%1."/>
      <w:lvlJc w:val="left"/>
      <w:pPr>
        <w:ind w:left="2160" w:hanging="360"/>
      </w:pPr>
      <w:rPr>
        <w:rFonts w:hint="default"/>
      </w:rPr>
    </w:lvl>
    <w:lvl w:ilvl="1" w:tplc="04090001">
      <w:start w:val="1"/>
      <w:numFmt w:val="bullet"/>
      <w:lvlText w:val=""/>
      <w:lvlJc w:val="left"/>
      <w:pPr>
        <w:ind w:left="2880" w:hanging="360"/>
      </w:pPr>
      <w:rPr>
        <w:rFonts w:ascii="Symbol" w:hAnsi="Symbol" w:hint="default"/>
        <w:b/>
      </w:r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5">
    <w:nsid w:val="3FB371AD"/>
    <w:multiLevelType w:val="hybridMultilevel"/>
    <w:tmpl w:val="FFC86486"/>
    <w:lvl w:ilvl="0" w:tplc="04090019">
      <w:start w:val="1"/>
      <w:numFmt w:val="lowerLetter"/>
      <w:lvlText w:val="%1."/>
      <w:lvlJc w:val="left"/>
      <w:pPr>
        <w:ind w:left="2160" w:hanging="360"/>
      </w:pPr>
      <w:rPr>
        <w:rFonts w:hint="default"/>
      </w:rPr>
    </w:lvl>
    <w:lvl w:ilvl="1" w:tplc="B770D05E">
      <w:start w:val="1"/>
      <w:numFmt w:val="lowerRoman"/>
      <w:lvlText w:val="%2."/>
      <w:lvlJc w:val="right"/>
      <w:pPr>
        <w:ind w:left="2880" w:hanging="360"/>
      </w:pPr>
      <w:rPr>
        <w:rFonts w:ascii="Times New Roman" w:hAnsi="Times New Roman" w:cs="Times New Roman" w:hint="default"/>
        <w:b/>
      </w:r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6">
    <w:nsid w:val="419F1F94"/>
    <w:multiLevelType w:val="hybridMultilevel"/>
    <w:tmpl w:val="349A3F54"/>
    <w:lvl w:ilvl="0" w:tplc="D49041E0">
      <w:start w:val="1"/>
      <w:numFmt w:val="lowerRoman"/>
      <w:lvlText w:val="%1."/>
      <w:lvlJc w:val="right"/>
      <w:pPr>
        <w:ind w:left="1440" w:hanging="360"/>
      </w:pPr>
      <w:rPr>
        <w:rFonts w:ascii="Times New Roman" w:hAnsi="Times New Roman" w:cs="Times New Roman" w:hint="default"/>
        <w:b w:val="0"/>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1B">
      <w:start w:val="1"/>
      <w:numFmt w:val="lowerRoman"/>
      <w:lvlText w:val="%4."/>
      <w:lvlJc w:val="righ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42F878B7"/>
    <w:multiLevelType w:val="multilevel"/>
    <w:tmpl w:val="932C9240"/>
    <w:lvl w:ilvl="0">
      <w:start w:val="1"/>
      <w:numFmt w:val="upperRoman"/>
      <w:lvlText w:val="%1."/>
      <w:lvlJc w:val="center"/>
      <w:pPr>
        <w:tabs>
          <w:tab w:val="num" w:pos="1800"/>
        </w:tabs>
        <w:ind w:left="1152" w:firstLine="288"/>
      </w:pPr>
      <w:rPr>
        <w:b/>
        <w:i w:val="0"/>
      </w:rPr>
    </w:lvl>
    <w:lvl w:ilvl="1">
      <w:start w:val="1"/>
      <w:numFmt w:val="decimal"/>
      <w:isLgl/>
      <w:lvlText w:val="%1.%2"/>
      <w:lvlJc w:val="left"/>
      <w:pPr>
        <w:tabs>
          <w:tab w:val="num" w:pos="2448"/>
        </w:tabs>
        <w:ind w:left="2448" w:hanging="1296"/>
      </w:pPr>
      <w:rPr>
        <w:b w:val="0"/>
      </w:rPr>
    </w:lvl>
    <w:lvl w:ilvl="2">
      <w:start w:val="1"/>
      <w:numFmt w:val="lowerLetter"/>
      <w:lvlText w:val="%3."/>
      <w:lvlJc w:val="left"/>
      <w:pPr>
        <w:tabs>
          <w:tab w:val="num" w:pos="2304"/>
        </w:tabs>
        <w:ind w:left="2304" w:hanging="432"/>
      </w:pPr>
    </w:lvl>
    <w:lvl w:ilvl="3">
      <w:start w:val="1"/>
      <w:numFmt w:val="lowerLetter"/>
      <w:lvlText w:val="%4."/>
      <w:lvlJc w:val="left"/>
      <w:pPr>
        <w:tabs>
          <w:tab w:val="num" w:pos="2736"/>
        </w:tabs>
        <w:ind w:left="2736" w:hanging="288"/>
      </w:pPr>
    </w:lvl>
    <w:lvl w:ilvl="4">
      <w:start w:val="1"/>
      <w:numFmt w:val="lowerRoman"/>
      <w:lvlText w:val="%5."/>
      <w:lvlJc w:val="righ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8">
    <w:nsid w:val="474C6902"/>
    <w:multiLevelType w:val="hybridMultilevel"/>
    <w:tmpl w:val="A4922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9B6A20"/>
    <w:multiLevelType w:val="hybridMultilevel"/>
    <w:tmpl w:val="3FD8CB58"/>
    <w:lvl w:ilvl="0" w:tplc="04090015">
      <w:start w:val="1"/>
      <w:numFmt w:val="upperLetter"/>
      <w:lvlText w:val="%1."/>
      <w:lvlJc w:val="left"/>
      <w:pPr>
        <w:ind w:left="360" w:hanging="360"/>
      </w:pPr>
      <w:rPr>
        <w:sz w:val="28"/>
        <w:szCs w:val="28"/>
      </w:rPr>
    </w:lvl>
    <w:lvl w:ilvl="1" w:tplc="0C0A0019" w:tentative="1">
      <w:start w:val="1"/>
      <w:numFmt w:val="lowerLetter"/>
      <w:lvlText w:val="%2."/>
      <w:lvlJc w:val="left"/>
      <w:pPr>
        <w:ind w:left="15" w:hanging="360"/>
      </w:pPr>
    </w:lvl>
    <w:lvl w:ilvl="2" w:tplc="0C0A001B" w:tentative="1">
      <w:start w:val="1"/>
      <w:numFmt w:val="lowerRoman"/>
      <w:lvlText w:val="%3."/>
      <w:lvlJc w:val="right"/>
      <w:pPr>
        <w:ind w:left="735" w:hanging="180"/>
      </w:pPr>
    </w:lvl>
    <w:lvl w:ilvl="3" w:tplc="0C0A000F" w:tentative="1">
      <w:start w:val="1"/>
      <w:numFmt w:val="decimal"/>
      <w:lvlText w:val="%4."/>
      <w:lvlJc w:val="left"/>
      <w:pPr>
        <w:ind w:left="1455" w:hanging="360"/>
      </w:pPr>
    </w:lvl>
    <w:lvl w:ilvl="4" w:tplc="0C0A0019" w:tentative="1">
      <w:start w:val="1"/>
      <w:numFmt w:val="lowerLetter"/>
      <w:lvlText w:val="%5."/>
      <w:lvlJc w:val="left"/>
      <w:pPr>
        <w:ind w:left="2175" w:hanging="360"/>
      </w:pPr>
    </w:lvl>
    <w:lvl w:ilvl="5" w:tplc="0C0A001B" w:tentative="1">
      <w:start w:val="1"/>
      <w:numFmt w:val="lowerRoman"/>
      <w:lvlText w:val="%6."/>
      <w:lvlJc w:val="right"/>
      <w:pPr>
        <w:ind w:left="2895" w:hanging="180"/>
      </w:pPr>
    </w:lvl>
    <w:lvl w:ilvl="6" w:tplc="0C0A000F" w:tentative="1">
      <w:start w:val="1"/>
      <w:numFmt w:val="decimal"/>
      <w:lvlText w:val="%7."/>
      <w:lvlJc w:val="left"/>
      <w:pPr>
        <w:ind w:left="3615" w:hanging="360"/>
      </w:pPr>
    </w:lvl>
    <w:lvl w:ilvl="7" w:tplc="0C0A0019" w:tentative="1">
      <w:start w:val="1"/>
      <w:numFmt w:val="lowerLetter"/>
      <w:lvlText w:val="%8."/>
      <w:lvlJc w:val="left"/>
      <w:pPr>
        <w:ind w:left="4335" w:hanging="360"/>
      </w:pPr>
    </w:lvl>
    <w:lvl w:ilvl="8" w:tplc="0C0A001B" w:tentative="1">
      <w:start w:val="1"/>
      <w:numFmt w:val="lowerRoman"/>
      <w:lvlText w:val="%9."/>
      <w:lvlJc w:val="right"/>
      <w:pPr>
        <w:ind w:left="5055" w:hanging="180"/>
      </w:pPr>
    </w:lvl>
  </w:abstractNum>
  <w:abstractNum w:abstractNumId="10">
    <w:nsid w:val="4CAF0826"/>
    <w:multiLevelType w:val="hybridMultilevel"/>
    <w:tmpl w:val="FFC86486"/>
    <w:lvl w:ilvl="0" w:tplc="04090019">
      <w:start w:val="1"/>
      <w:numFmt w:val="lowerLetter"/>
      <w:lvlText w:val="%1."/>
      <w:lvlJc w:val="left"/>
      <w:pPr>
        <w:ind w:left="2160" w:hanging="360"/>
      </w:pPr>
      <w:rPr>
        <w:rFonts w:hint="default"/>
      </w:rPr>
    </w:lvl>
    <w:lvl w:ilvl="1" w:tplc="B770D05E">
      <w:start w:val="1"/>
      <w:numFmt w:val="lowerRoman"/>
      <w:lvlText w:val="%2."/>
      <w:lvlJc w:val="right"/>
      <w:pPr>
        <w:ind w:left="2880" w:hanging="360"/>
      </w:pPr>
      <w:rPr>
        <w:rFonts w:ascii="Times New Roman" w:hAnsi="Times New Roman" w:cs="Times New Roman" w:hint="default"/>
        <w:b/>
      </w:r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11">
    <w:nsid w:val="52BF2396"/>
    <w:multiLevelType w:val="hybridMultilevel"/>
    <w:tmpl w:val="164A8A8E"/>
    <w:lvl w:ilvl="0" w:tplc="04090015">
      <w:start w:val="1"/>
      <w:numFmt w:val="upperLetter"/>
      <w:lvlText w:val="%1."/>
      <w:lvlJc w:val="left"/>
      <w:pPr>
        <w:ind w:left="360" w:hanging="360"/>
      </w:pPr>
      <w:rPr>
        <w:sz w:val="28"/>
        <w:szCs w:val="28"/>
      </w:rPr>
    </w:lvl>
    <w:lvl w:ilvl="1" w:tplc="0C0A0019" w:tentative="1">
      <w:start w:val="1"/>
      <w:numFmt w:val="lowerLetter"/>
      <w:lvlText w:val="%2."/>
      <w:lvlJc w:val="left"/>
      <w:pPr>
        <w:ind w:left="15" w:hanging="360"/>
      </w:pPr>
    </w:lvl>
    <w:lvl w:ilvl="2" w:tplc="0C0A001B" w:tentative="1">
      <w:start w:val="1"/>
      <w:numFmt w:val="lowerRoman"/>
      <w:lvlText w:val="%3."/>
      <w:lvlJc w:val="right"/>
      <w:pPr>
        <w:ind w:left="735" w:hanging="180"/>
      </w:pPr>
    </w:lvl>
    <w:lvl w:ilvl="3" w:tplc="0C0A000F" w:tentative="1">
      <w:start w:val="1"/>
      <w:numFmt w:val="decimal"/>
      <w:lvlText w:val="%4."/>
      <w:lvlJc w:val="left"/>
      <w:pPr>
        <w:ind w:left="1455" w:hanging="360"/>
      </w:pPr>
    </w:lvl>
    <w:lvl w:ilvl="4" w:tplc="0C0A0019" w:tentative="1">
      <w:start w:val="1"/>
      <w:numFmt w:val="lowerLetter"/>
      <w:lvlText w:val="%5."/>
      <w:lvlJc w:val="left"/>
      <w:pPr>
        <w:ind w:left="2175" w:hanging="360"/>
      </w:pPr>
    </w:lvl>
    <w:lvl w:ilvl="5" w:tplc="0C0A001B" w:tentative="1">
      <w:start w:val="1"/>
      <w:numFmt w:val="lowerRoman"/>
      <w:lvlText w:val="%6."/>
      <w:lvlJc w:val="right"/>
      <w:pPr>
        <w:ind w:left="2895" w:hanging="180"/>
      </w:pPr>
    </w:lvl>
    <w:lvl w:ilvl="6" w:tplc="0C0A000F" w:tentative="1">
      <w:start w:val="1"/>
      <w:numFmt w:val="decimal"/>
      <w:lvlText w:val="%7."/>
      <w:lvlJc w:val="left"/>
      <w:pPr>
        <w:ind w:left="3615" w:hanging="360"/>
      </w:pPr>
    </w:lvl>
    <w:lvl w:ilvl="7" w:tplc="0C0A0019" w:tentative="1">
      <w:start w:val="1"/>
      <w:numFmt w:val="lowerLetter"/>
      <w:lvlText w:val="%8."/>
      <w:lvlJc w:val="left"/>
      <w:pPr>
        <w:ind w:left="4335" w:hanging="360"/>
      </w:pPr>
    </w:lvl>
    <w:lvl w:ilvl="8" w:tplc="0C0A001B" w:tentative="1">
      <w:start w:val="1"/>
      <w:numFmt w:val="lowerRoman"/>
      <w:lvlText w:val="%9."/>
      <w:lvlJc w:val="right"/>
      <w:pPr>
        <w:ind w:left="5055" w:hanging="180"/>
      </w:pPr>
    </w:lvl>
  </w:abstractNum>
  <w:abstractNum w:abstractNumId="12">
    <w:nsid w:val="54A87DCA"/>
    <w:multiLevelType w:val="hybridMultilevel"/>
    <w:tmpl w:val="1284A10E"/>
    <w:lvl w:ilvl="0" w:tplc="04090019">
      <w:start w:val="1"/>
      <w:numFmt w:val="lowerLetter"/>
      <w:lvlText w:val="%1."/>
      <w:lvlJc w:val="left"/>
      <w:pPr>
        <w:ind w:left="2160" w:hanging="360"/>
      </w:pPr>
      <w:rPr>
        <w:rFonts w:hint="default"/>
      </w:rPr>
    </w:lvl>
    <w:lvl w:ilvl="1" w:tplc="04090001">
      <w:start w:val="1"/>
      <w:numFmt w:val="bullet"/>
      <w:lvlText w:val=""/>
      <w:lvlJc w:val="left"/>
      <w:pPr>
        <w:ind w:left="2880" w:hanging="360"/>
      </w:pPr>
      <w:rPr>
        <w:rFonts w:ascii="Symbol" w:hAnsi="Symbol" w:hint="default"/>
        <w:b/>
      </w:r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13">
    <w:nsid w:val="5FF509F5"/>
    <w:multiLevelType w:val="hybridMultilevel"/>
    <w:tmpl w:val="179C1E48"/>
    <w:lvl w:ilvl="0" w:tplc="1904FABE">
      <w:start w:val="1"/>
      <w:numFmt w:val="upperRoman"/>
      <w:lvlText w:val="%1."/>
      <w:lvlJc w:val="left"/>
      <w:pPr>
        <w:ind w:left="1425" w:hanging="720"/>
      </w:pPr>
      <w:rPr>
        <w:rFonts w:hint="default"/>
      </w:rPr>
    </w:lvl>
    <w:lvl w:ilvl="1" w:tplc="04090015">
      <w:start w:val="1"/>
      <w:numFmt w:val="upperLetter"/>
      <w:lvlText w:val="%2."/>
      <w:lvlJc w:val="left"/>
      <w:pPr>
        <w:ind w:left="1785" w:hanging="360"/>
      </w:pPr>
      <w:rPr>
        <w:sz w:val="28"/>
        <w:szCs w:val="28"/>
      </w:r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4">
    <w:nsid w:val="609923C8"/>
    <w:multiLevelType w:val="multilevel"/>
    <w:tmpl w:val="FFF87884"/>
    <w:lvl w:ilvl="0">
      <w:start w:val="1"/>
      <w:numFmt w:val="upperRoman"/>
      <w:pStyle w:val="Heading1"/>
      <w:lvlText w:val="%1."/>
      <w:lvlJc w:val="center"/>
      <w:pPr>
        <w:tabs>
          <w:tab w:val="num" w:pos="360"/>
        </w:tabs>
        <w:ind w:left="288" w:hanging="288"/>
      </w:pPr>
      <w:rPr>
        <w:rFonts w:ascii="Times New Roman Bold" w:hAnsi="Times New Roman Bold" w:hint="default"/>
        <w:b/>
        <w:i w:val="0"/>
        <w:sz w:val="24"/>
      </w:rPr>
    </w:lvl>
    <w:lvl w:ilvl="1">
      <w:start w:val="1"/>
      <w:numFmt w:val="decimal"/>
      <w:pStyle w:val="AutoNumpara"/>
      <w:isLgl/>
      <w:lvlText w:val="%1.%2"/>
      <w:lvlJc w:val="left"/>
      <w:pPr>
        <w:tabs>
          <w:tab w:val="num" w:pos="720"/>
        </w:tabs>
        <w:ind w:left="720" w:hanging="720"/>
      </w:pPr>
      <w:rPr>
        <w:rFonts w:hint="default"/>
        <w:b w:val="0"/>
      </w:rPr>
    </w:lvl>
    <w:lvl w:ilvl="2">
      <w:start w:val="1"/>
      <w:numFmt w:val="lowerLetter"/>
      <w:lvlRestart w:val="0"/>
      <w:pStyle w:val="Heading4"/>
      <w:lvlText w:val="%3."/>
      <w:lvlJc w:val="left"/>
      <w:pPr>
        <w:tabs>
          <w:tab w:val="num" w:pos="1800"/>
        </w:tabs>
        <w:ind w:left="1800" w:hanging="360"/>
      </w:pPr>
      <w:rPr>
        <w:rFonts w:ascii="Times New Roman Bold" w:hAnsi="Times New Roman Bold" w:hint="default"/>
        <w:b w:val="0"/>
        <w:i w:val="0"/>
        <w:sz w:val="24"/>
      </w:rPr>
    </w:lvl>
    <w:lvl w:ilvl="3">
      <w:start w:val="1"/>
      <w:numFmt w:val="lowerRoman"/>
      <w:lvlRestart w:val="0"/>
      <w:pStyle w:val="Heading5"/>
      <w:lvlText w:val="(%4)"/>
      <w:lvlJc w:val="right"/>
      <w:pPr>
        <w:tabs>
          <w:tab w:val="num" w:pos="2088"/>
        </w:tabs>
        <w:ind w:left="2088" w:hanging="288"/>
      </w:pPr>
      <w:rPr>
        <w:rFonts w:ascii="Times New Roman Bold" w:hAnsi="Times New Roman Bold" w:hint="default"/>
        <w:b/>
        <w:i w:val="0"/>
        <w:sz w:val="24"/>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15">
    <w:nsid w:val="624711D4"/>
    <w:multiLevelType w:val="hybridMultilevel"/>
    <w:tmpl w:val="D5222B18"/>
    <w:lvl w:ilvl="0" w:tplc="7B284434">
      <w:start w:val="1"/>
      <w:numFmt w:val="upperLetter"/>
      <w:lvlText w:val="%1."/>
      <w:lvlJc w:val="left"/>
      <w:pPr>
        <w:ind w:left="360" w:hanging="360"/>
      </w:pPr>
      <w:rPr>
        <w:sz w:val="28"/>
        <w:szCs w:val="28"/>
      </w:rPr>
    </w:lvl>
    <w:lvl w:ilvl="1" w:tplc="0C0A0019" w:tentative="1">
      <w:start w:val="1"/>
      <w:numFmt w:val="lowerLetter"/>
      <w:lvlText w:val="%2."/>
      <w:lvlJc w:val="left"/>
      <w:pPr>
        <w:ind w:left="15" w:hanging="360"/>
      </w:pPr>
    </w:lvl>
    <w:lvl w:ilvl="2" w:tplc="0C0A001B" w:tentative="1">
      <w:start w:val="1"/>
      <w:numFmt w:val="lowerRoman"/>
      <w:lvlText w:val="%3."/>
      <w:lvlJc w:val="right"/>
      <w:pPr>
        <w:ind w:left="735" w:hanging="180"/>
      </w:pPr>
    </w:lvl>
    <w:lvl w:ilvl="3" w:tplc="0C0A000F" w:tentative="1">
      <w:start w:val="1"/>
      <w:numFmt w:val="decimal"/>
      <w:lvlText w:val="%4."/>
      <w:lvlJc w:val="left"/>
      <w:pPr>
        <w:ind w:left="1455" w:hanging="360"/>
      </w:pPr>
    </w:lvl>
    <w:lvl w:ilvl="4" w:tplc="0C0A0019" w:tentative="1">
      <w:start w:val="1"/>
      <w:numFmt w:val="lowerLetter"/>
      <w:lvlText w:val="%5."/>
      <w:lvlJc w:val="left"/>
      <w:pPr>
        <w:ind w:left="2175" w:hanging="360"/>
      </w:pPr>
    </w:lvl>
    <w:lvl w:ilvl="5" w:tplc="0C0A001B" w:tentative="1">
      <w:start w:val="1"/>
      <w:numFmt w:val="lowerRoman"/>
      <w:lvlText w:val="%6."/>
      <w:lvlJc w:val="right"/>
      <w:pPr>
        <w:ind w:left="2895" w:hanging="180"/>
      </w:pPr>
    </w:lvl>
    <w:lvl w:ilvl="6" w:tplc="0C0A000F" w:tentative="1">
      <w:start w:val="1"/>
      <w:numFmt w:val="decimal"/>
      <w:lvlText w:val="%7."/>
      <w:lvlJc w:val="left"/>
      <w:pPr>
        <w:ind w:left="3615" w:hanging="360"/>
      </w:pPr>
    </w:lvl>
    <w:lvl w:ilvl="7" w:tplc="0C0A0019" w:tentative="1">
      <w:start w:val="1"/>
      <w:numFmt w:val="lowerLetter"/>
      <w:lvlText w:val="%8."/>
      <w:lvlJc w:val="left"/>
      <w:pPr>
        <w:ind w:left="4335" w:hanging="360"/>
      </w:pPr>
    </w:lvl>
    <w:lvl w:ilvl="8" w:tplc="0C0A001B" w:tentative="1">
      <w:start w:val="1"/>
      <w:numFmt w:val="lowerRoman"/>
      <w:lvlText w:val="%9."/>
      <w:lvlJc w:val="right"/>
      <w:pPr>
        <w:ind w:left="5055" w:hanging="180"/>
      </w:pPr>
    </w:lvl>
  </w:abstractNum>
  <w:abstractNum w:abstractNumId="16">
    <w:nsid w:val="6B992D03"/>
    <w:multiLevelType w:val="multilevel"/>
    <w:tmpl w:val="D68C7A60"/>
    <w:lvl w:ilvl="0">
      <w:start w:val="1"/>
      <w:numFmt w:val="decimal"/>
      <w:pStyle w:val="Chapter"/>
      <w:lvlText w:val="%1"/>
      <w:lvlJc w:val="left"/>
      <w:pPr>
        <w:ind w:left="1152" w:hanging="432"/>
      </w:p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pStyle w:val="Heading7"/>
      <w:lvlText w:val="%1.%2.%3.%4.%5.%6.%7"/>
      <w:lvlJc w:val="left"/>
      <w:pPr>
        <w:ind w:left="2016" w:hanging="1296"/>
      </w:pPr>
    </w:lvl>
    <w:lvl w:ilvl="7">
      <w:start w:val="1"/>
      <w:numFmt w:val="decimal"/>
      <w:pStyle w:val="Heading8"/>
      <w:lvlText w:val="%1.%2.%3.%4.%5.%6.%7.%8"/>
      <w:lvlJc w:val="left"/>
      <w:pPr>
        <w:ind w:left="2160" w:hanging="1440"/>
      </w:pPr>
    </w:lvl>
    <w:lvl w:ilvl="8">
      <w:start w:val="1"/>
      <w:numFmt w:val="decimal"/>
      <w:pStyle w:val="Heading9"/>
      <w:lvlText w:val="%1.%2.%3.%4.%5.%6.%7.%8.%9"/>
      <w:lvlJc w:val="left"/>
      <w:pPr>
        <w:ind w:left="2304" w:hanging="1584"/>
      </w:pPr>
    </w:lvl>
  </w:abstractNum>
  <w:abstractNum w:abstractNumId="17">
    <w:nsid w:val="6CAC5B57"/>
    <w:multiLevelType w:val="hybridMultilevel"/>
    <w:tmpl w:val="2F44D25A"/>
    <w:lvl w:ilvl="0" w:tplc="0409000F">
      <w:start w:val="1"/>
      <w:numFmt w:val="upperRoman"/>
      <w:lvlText w:val="%1."/>
      <w:lvlJc w:val="left"/>
      <w:pPr>
        <w:ind w:left="1425" w:hanging="720"/>
      </w:pPr>
      <w:rPr>
        <w:rFonts w:hint="default"/>
      </w:rPr>
    </w:lvl>
    <w:lvl w:ilvl="1" w:tplc="8288FB94">
      <w:start w:val="1"/>
      <w:numFmt w:val="lowerLetter"/>
      <w:lvlText w:val="%2."/>
      <w:lvlJc w:val="left"/>
      <w:pPr>
        <w:ind w:left="1785" w:hanging="360"/>
      </w:pPr>
      <w:rPr>
        <w:sz w:val="28"/>
        <w:szCs w:val="28"/>
      </w:r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8">
    <w:nsid w:val="75424205"/>
    <w:multiLevelType w:val="multilevel"/>
    <w:tmpl w:val="A244AB66"/>
    <w:lvl w:ilvl="0">
      <w:start w:val="1"/>
      <w:numFmt w:val="upperRoman"/>
      <w:lvlRestart w:val="0"/>
      <w:lvlText w:val="%1."/>
      <w:lvlJc w:val="center"/>
      <w:pPr>
        <w:tabs>
          <w:tab w:val="num" w:pos="1368"/>
        </w:tabs>
        <w:ind w:left="720" w:firstLine="288"/>
      </w:pPr>
      <w:rPr>
        <w:b/>
        <w:i w:val="0"/>
      </w:rPr>
    </w:lvl>
    <w:lvl w:ilvl="1">
      <w:start w:val="1"/>
      <w:numFmt w:val="decimal"/>
      <w:isLgl/>
      <w:lvlText w:val="%1.%2"/>
      <w:lvlJc w:val="left"/>
      <w:pPr>
        <w:tabs>
          <w:tab w:val="num" w:pos="2016"/>
        </w:tabs>
        <w:ind w:left="2016" w:hanging="1296"/>
      </w:pPr>
    </w:lvl>
    <w:lvl w:ilvl="2">
      <w:start w:val="1"/>
      <w:numFmt w:val="lowerLetter"/>
      <w:lvlText w:val="%3."/>
      <w:lvlJc w:val="left"/>
      <w:pPr>
        <w:tabs>
          <w:tab w:val="num" w:pos="1872"/>
        </w:tabs>
        <w:ind w:left="1872" w:hanging="432"/>
      </w:pPr>
    </w:lvl>
    <w:lvl w:ilvl="3">
      <w:start w:val="1"/>
      <w:numFmt w:val="lowerRoman"/>
      <w:lvlText w:val="%4."/>
      <w:lvlJc w:val="right"/>
      <w:pPr>
        <w:tabs>
          <w:tab w:val="num" w:pos="2304"/>
        </w:tabs>
        <w:ind w:left="2304" w:hanging="288"/>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19">
    <w:nsid w:val="765F72A4"/>
    <w:multiLevelType w:val="hybridMultilevel"/>
    <w:tmpl w:val="B0DEA0CA"/>
    <w:lvl w:ilvl="0" w:tplc="0409000F">
      <w:start w:val="1"/>
      <w:numFmt w:val="upperRoman"/>
      <w:lvlText w:val="%1."/>
      <w:lvlJc w:val="left"/>
      <w:pPr>
        <w:ind w:left="1425" w:hanging="720"/>
      </w:pPr>
      <w:rPr>
        <w:rFonts w:hint="default"/>
      </w:rPr>
    </w:lvl>
    <w:lvl w:ilvl="1" w:tplc="04090015">
      <w:start w:val="1"/>
      <w:numFmt w:val="upperLetter"/>
      <w:lvlText w:val="%2."/>
      <w:lvlJc w:val="left"/>
      <w:pPr>
        <w:ind w:left="1785" w:hanging="360"/>
      </w:pPr>
      <w:rPr>
        <w:sz w:val="28"/>
        <w:szCs w:val="28"/>
      </w:r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0">
    <w:nsid w:val="76D066DD"/>
    <w:multiLevelType w:val="hybridMultilevel"/>
    <w:tmpl w:val="9E36F9EE"/>
    <w:lvl w:ilvl="0" w:tplc="B46C3034">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1">
    <w:nsid w:val="79B44BBB"/>
    <w:multiLevelType w:val="hybridMultilevel"/>
    <w:tmpl w:val="31E213D6"/>
    <w:lvl w:ilvl="0" w:tplc="C506EDA8">
      <w:start w:val="3"/>
      <w:numFmt w:val="upperLetter"/>
      <w:lvlText w:val="%1."/>
      <w:lvlJc w:val="left"/>
      <w:pPr>
        <w:ind w:left="1785"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E05CB3"/>
    <w:multiLevelType w:val="hybridMultilevel"/>
    <w:tmpl w:val="81180636"/>
    <w:lvl w:ilvl="0" w:tplc="B770D05E">
      <w:start w:val="1"/>
      <w:numFmt w:val="lowerRoman"/>
      <w:lvlText w:val="%1."/>
      <w:lvlJc w:val="right"/>
      <w:pPr>
        <w:ind w:left="1440" w:hanging="360"/>
      </w:pPr>
      <w:rPr>
        <w:rFonts w:ascii="Times New Roman" w:hAnsi="Times New Roman" w:cs="Times New Roman" w:hint="default"/>
        <w:b/>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1B">
      <w:start w:val="1"/>
      <w:numFmt w:val="lowerRoman"/>
      <w:lvlText w:val="%4."/>
      <w:lvlJc w:val="righ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nsid w:val="7C4B2A84"/>
    <w:multiLevelType w:val="hybridMultilevel"/>
    <w:tmpl w:val="7DF222C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6"/>
  </w:num>
  <w:num w:numId="2">
    <w:abstractNumId w:val="13"/>
  </w:num>
  <w:num w:numId="3">
    <w:abstractNumId w:val="0"/>
  </w:num>
  <w:num w:numId="4">
    <w:abstractNumId w:val="6"/>
  </w:num>
  <w:num w:numId="5">
    <w:abstractNumId w:val="17"/>
  </w:num>
  <w:num w:numId="6">
    <w:abstractNumId w:val="14"/>
  </w:num>
  <w:num w:numId="7">
    <w:abstractNumId w:val="11"/>
  </w:num>
  <w:num w:numId="8">
    <w:abstractNumId w:val="22"/>
  </w:num>
  <w:num w:numId="9">
    <w:abstractNumId w:val="2"/>
  </w:num>
  <w:num w:numId="10">
    <w:abstractNumId w:val="20"/>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23"/>
  </w:num>
  <w:num w:numId="18">
    <w:abstractNumId w:val="1"/>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0"/>
  </w:num>
  <w:num w:numId="22">
    <w:abstractNumId w:val="14"/>
  </w:num>
  <w:num w:numId="23">
    <w:abstractNumId w:val="5"/>
  </w:num>
  <w:num w:numId="24">
    <w:abstractNumId w:val="19"/>
  </w:num>
  <w:num w:numId="25">
    <w:abstractNumId w:val="8"/>
  </w:num>
  <w:num w:numId="26">
    <w:abstractNumId w:val="3"/>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5"/>
  </w:num>
  <w:num w:numId="43">
    <w:abstractNumId w:val="14"/>
  </w:num>
  <w:num w:numId="44">
    <w:abstractNumId w:val="9"/>
  </w:num>
  <w:num w:numId="45">
    <w:abstractNumId w:val="21"/>
  </w:num>
  <w:num w:numId="46">
    <w:abstractNumId w:val="12"/>
  </w:num>
  <w:num w:numId="47">
    <w:abstractNumId w:val="4"/>
  </w:num>
  <w:num w:numId="48">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B40"/>
    <w:rsid w:val="0001130F"/>
    <w:rsid w:val="00017C02"/>
    <w:rsid w:val="00017F6F"/>
    <w:rsid w:val="000251DB"/>
    <w:rsid w:val="0002686F"/>
    <w:rsid w:val="00031115"/>
    <w:rsid w:val="000315E2"/>
    <w:rsid w:val="00031DC0"/>
    <w:rsid w:val="00055FFF"/>
    <w:rsid w:val="000569FD"/>
    <w:rsid w:val="00060FD6"/>
    <w:rsid w:val="000672EB"/>
    <w:rsid w:val="00067598"/>
    <w:rsid w:val="00070889"/>
    <w:rsid w:val="00071593"/>
    <w:rsid w:val="00083A59"/>
    <w:rsid w:val="00084AEE"/>
    <w:rsid w:val="0009138A"/>
    <w:rsid w:val="00094B85"/>
    <w:rsid w:val="000A5732"/>
    <w:rsid w:val="000A7135"/>
    <w:rsid w:val="000B1D03"/>
    <w:rsid w:val="000B27AA"/>
    <w:rsid w:val="000B7769"/>
    <w:rsid w:val="000D41DE"/>
    <w:rsid w:val="000E03AD"/>
    <w:rsid w:val="000E1E3E"/>
    <w:rsid w:val="000E5269"/>
    <w:rsid w:val="000F102A"/>
    <w:rsid w:val="00103A9E"/>
    <w:rsid w:val="00110492"/>
    <w:rsid w:val="00112914"/>
    <w:rsid w:val="0011340A"/>
    <w:rsid w:val="00115738"/>
    <w:rsid w:val="001203BD"/>
    <w:rsid w:val="0012377F"/>
    <w:rsid w:val="0012405D"/>
    <w:rsid w:val="001248E4"/>
    <w:rsid w:val="0012572B"/>
    <w:rsid w:val="00132DD5"/>
    <w:rsid w:val="001406B1"/>
    <w:rsid w:val="00155B5B"/>
    <w:rsid w:val="00165E48"/>
    <w:rsid w:val="001755EB"/>
    <w:rsid w:val="0018131E"/>
    <w:rsid w:val="00186AC2"/>
    <w:rsid w:val="00186EF1"/>
    <w:rsid w:val="001873D0"/>
    <w:rsid w:val="00192671"/>
    <w:rsid w:val="001A0D09"/>
    <w:rsid w:val="001A4410"/>
    <w:rsid w:val="001A606C"/>
    <w:rsid w:val="001A7E25"/>
    <w:rsid w:val="001B6B40"/>
    <w:rsid w:val="001C123A"/>
    <w:rsid w:val="001C2BFE"/>
    <w:rsid w:val="001D6011"/>
    <w:rsid w:val="001D62C4"/>
    <w:rsid w:val="001E5795"/>
    <w:rsid w:val="0020026B"/>
    <w:rsid w:val="0020225D"/>
    <w:rsid w:val="002029F9"/>
    <w:rsid w:val="00212E53"/>
    <w:rsid w:val="00213EF3"/>
    <w:rsid w:val="00216360"/>
    <w:rsid w:val="00217C45"/>
    <w:rsid w:val="002351F0"/>
    <w:rsid w:val="00244406"/>
    <w:rsid w:val="002527A8"/>
    <w:rsid w:val="00252D7E"/>
    <w:rsid w:val="002637D1"/>
    <w:rsid w:val="002814E0"/>
    <w:rsid w:val="002928F3"/>
    <w:rsid w:val="00294BA4"/>
    <w:rsid w:val="002974F3"/>
    <w:rsid w:val="002A5ADD"/>
    <w:rsid w:val="002B2F04"/>
    <w:rsid w:val="002B361A"/>
    <w:rsid w:val="002C4004"/>
    <w:rsid w:val="002D2B95"/>
    <w:rsid w:val="002E0081"/>
    <w:rsid w:val="002F275D"/>
    <w:rsid w:val="002F7446"/>
    <w:rsid w:val="00301794"/>
    <w:rsid w:val="00304EEA"/>
    <w:rsid w:val="003105DB"/>
    <w:rsid w:val="00314225"/>
    <w:rsid w:val="003151BF"/>
    <w:rsid w:val="00323B78"/>
    <w:rsid w:val="0033130A"/>
    <w:rsid w:val="003333C5"/>
    <w:rsid w:val="00337A14"/>
    <w:rsid w:val="00356E79"/>
    <w:rsid w:val="00362300"/>
    <w:rsid w:val="00364A42"/>
    <w:rsid w:val="003748B2"/>
    <w:rsid w:val="00377881"/>
    <w:rsid w:val="00381EE9"/>
    <w:rsid w:val="003848DB"/>
    <w:rsid w:val="003A10C1"/>
    <w:rsid w:val="003A240C"/>
    <w:rsid w:val="003A2AFC"/>
    <w:rsid w:val="003A45B5"/>
    <w:rsid w:val="003A509B"/>
    <w:rsid w:val="003A57BC"/>
    <w:rsid w:val="003A79B2"/>
    <w:rsid w:val="003B24DD"/>
    <w:rsid w:val="003B6920"/>
    <w:rsid w:val="003C132F"/>
    <w:rsid w:val="003C31A0"/>
    <w:rsid w:val="003E1D93"/>
    <w:rsid w:val="003E41B6"/>
    <w:rsid w:val="003F1F05"/>
    <w:rsid w:val="003F44DC"/>
    <w:rsid w:val="003F6BA0"/>
    <w:rsid w:val="00401CE5"/>
    <w:rsid w:val="004022C0"/>
    <w:rsid w:val="00405566"/>
    <w:rsid w:val="00407449"/>
    <w:rsid w:val="00407C1A"/>
    <w:rsid w:val="00410BA2"/>
    <w:rsid w:val="00410E01"/>
    <w:rsid w:val="004131D3"/>
    <w:rsid w:val="00416033"/>
    <w:rsid w:val="004259D9"/>
    <w:rsid w:val="00434653"/>
    <w:rsid w:val="00435253"/>
    <w:rsid w:val="00437912"/>
    <w:rsid w:val="00440B31"/>
    <w:rsid w:val="00441C41"/>
    <w:rsid w:val="004424E9"/>
    <w:rsid w:val="00444420"/>
    <w:rsid w:val="00444491"/>
    <w:rsid w:val="0046083A"/>
    <w:rsid w:val="00463B31"/>
    <w:rsid w:val="00467E0C"/>
    <w:rsid w:val="00472F6E"/>
    <w:rsid w:val="00473CC8"/>
    <w:rsid w:val="00475D9A"/>
    <w:rsid w:val="00477129"/>
    <w:rsid w:val="00483DA7"/>
    <w:rsid w:val="004859FF"/>
    <w:rsid w:val="00495148"/>
    <w:rsid w:val="00496945"/>
    <w:rsid w:val="004B00C8"/>
    <w:rsid w:val="004C720B"/>
    <w:rsid w:val="004D2DDB"/>
    <w:rsid w:val="004D5C97"/>
    <w:rsid w:val="004D5F81"/>
    <w:rsid w:val="004E03F0"/>
    <w:rsid w:val="004E3341"/>
    <w:rsid w:val="004F304B"/>
    <w:rsid w:val="004F39FF"/>
    <w:rsid w:val="004F51C2"/>
    <w:rsid w:val="004F750B"/>
    <w:rsid w:val="00500E1F"/>
    <w:rsid w:val="00503B63"/>
    <w:rsid w:val="00505ED8"/>
    <w:rsid w:val="0052468A"/>
    <w:rsid w:val="00560875"/>
    <w:rsid w:val="00562D11"/>
    <w:rsid w:val="005712DA"/>
    <w:rsid w:val="00573D78"/>
    <w:rsid w:val="005753A4"/>
    <w:rsid w:val="00582806"/>
    <w:rsid w:val="00591D7C"/>
    <w:rsid w:val="005A4426"/>
    <w:rsid w:val="005A63CB"/>
    <w:rsid w:val="005B2811"/>
    <w:rsid w:val="005C1642"/>
    <w:rsid w:val="005C4608"/>
    <w:rsid w:val="005D209C"/>
    <w:rsid w:val="005D3CC7"/>
    <w:rsid w:val="005D487C"/>
    <w:rsid w:val="005D7900"/>
    <w:rsid w:val="005E13EC"/>
    <w:rsid w:val="005E6AAD"/>
    <w:rsid w:val="005F4AA7"/>
    <w:rsid w:val="006060A0"/>
    <w:rsid w:val="00611297"/>
    <w:rsid w:val="00611794"/>
    <w:rsid w:val="00612C47"/>
    <w:rsid w:val="006162FF"/>
    <w:rsid w:val="00633E0E"/>
    <w:rsid w:val="006350D4"/>
    <w:rsid w:val="00637A98"/>
    <w:rsid w:val="00646B17"/>
    <w:rsid w:val="0064752C"/>
    <w:rsid w:val="00647E73"/>
    <w:rsid w:val="00652EC0"/>
    <w:rsid w:val="0065741A"/>
    <w:rsid w:val="006575A2"/>
    <w:rsid w:val="00667958"/>
    <w:rsid w:val="00671297"/>
    <w:rsid w:val="00676DCC"/>
    <w:rsid w:val="00680792"/>
    <w:rsid w:val="0068373D"/>
    <w:rsid w:val="006852A4"/>
    <w:rsid w:val="006A2F52"/>
    <w:rsid w:val="006A5E4D"/>
    <w:rsid w:val="006B60AB"/>
    <w:rsid w:val="006C5AFC"/>
    <w:rsid w:val="006D699A"/>
    <w:rsid w:val="006D7C67"/>
    <w:rsid w:val="006E1A2E"/>
    <w:rsid w:val="006E6916"/>
    <w:rsid w:val="006E6DD2"/>
    <w:rsid w:val="006F1DD3"/>
    <w:rsid w:val="006F2674"/>
    <w:rsid w:val="006F7371"/>
    <w:rsid w:val="00711F14"/>
    <w:rsid w:val="00714D27"/>
    <w:rsid w:val="00720E03"/>
    <w:rsid w:val="007224D6"/>
    <w:rsid w:val="00726C1B"/>
    <w:rsid w:val="00732B47"/>
    <w:rsid w:val="00737205"/>
    <w:rsid w:val="007408A0"/>
    <w:rsid w:val="00745F1F"/>
    <w:rsid w:val="0075215E"/>
    <w:rsid w:val="007535FC"/>
    <w:rsid w:val="00753BCF"/>
    <w:rsid w:val="0075638A"/>
    <w:rsid w:val="00760FC7"/>
    <w:rsid w:val="007666B9"/>
    <w:rsid w:val="00767D2C"/>
    <w:rsid w:val="007721FF"/>
    <w:rsid w:val="00772831"/>
    <w:rsid w:val="00772BBF"/>
    <w:rsid w:val="00775095"/>
    <w:rsid w:val="00785416"/>
    <w:rsid w:val="007910B3"/>
    <w:rsid w:val="00792933"/>
    <w:rsid w:val="00796575"/>
    <w:rsid w:val="007969EB"/>
    <w:rsid w:val="007A0F85"/>
    <w:rsid w:val="007A3A3E"/>
    <w:rsid w:val="007A6B85"/>
    <w:rsid w:val="007B0619"/>
    <w:rsid w:val="007B5D7C"/>
    <w:rsid w:val="007C49D8"/>
    <w:rsid w:val="007D21D6"/>
    <w:rsid w:val="007D66C3"/>
    <w:rsid w:val="007F10EA"/>
    <w:rsid w:val="007F298A"/>
    <w:rsid w:val="007F2D17"/>
    <w:rsid w:val="007F3EBA"/>
    <w:rsid w:val="007F46DC"/>
    <w:rsid w:val="00800BB2"/>
    <w:rsid w:val="00802B83"/>
    <w:rsid w:val="00805EBD"/>
    <w:rsid w:val="00807988"/>
    <w:rsid w:val="00812A81"/>
    <w:rsid w:val="00813D35"/>
    <w:rsid w:val="00820556"/>
    <w:rsid w:val="00827BC1"/>
    <w:rsid w:val="008307B0"/>
    <w:rsid w:val="008363D7"/>
    <w:rsid w:val="00851149"/>
    <w:rsid w:val="00854D83"/>
    <w:rsid w:val="008639E8"/>
    <w:rsid w:val="00865ECA"/>
    <w:rsid w:val="00867EAB"/>
    <w:rsid w:val="00871F42"/>
    <w:rsid w:val="00874A98"/>
    <w:rsid w:val="008938B6"/>
    <w:rsid w:val="008A3DD8"/>
    <w:rsid w:val="008A7D44"/>
    <w:rsid w:val="008B7CFC"/>
    <w:rsid w:val="008C7DB5"/>
    <w:rsid w:val="008D3404"/>
    <w:rsid w:val="008D4B06"/>
    <w:rsid w:val="008E6C50"/>
    <w:rsid w:val="008E7382"/>
    <w:rsid w:val="008F47AC"/>
    <w:rsid w:val="008F7E79"/>
    <w:rsid w:val="00900F0D"/>
    <w:rsid w:val="009044EF"/>
    <w:rsid w:val="00904B6B"/>
    <w:rsid w:val="009056EF"/>
    <w:rsid w:val="009063ED"/>
    <w:rsid w:val="00906C8E"/>
    <w:rsid w:val="0091246A"/>
    <w:rsid w:val="009157FA"/>
    <w:rsid w:val="009219B9"/>
    <w:rsid w:val="00937632"/>
    <w:rsid w:val="00937D90"/>
    <w:rsid w:val="00955F80"/>
    <w:rsid w:val="00956E9A"/>
    <w:rsid w:val="009615BB"/>
    <w:rsid w:val="00970F70"/>
    <w:rsid w:val="00977678"/>
    <w:rsid w:val="00980ADE"/>
    <w:rsid w:val="0098528A"/>
    <w:rsid w:val="009907B5"/>
    <w:rsid w:val="009A0CC8"/>
    <w:rsid w:val="009A3D7F"/>
    <w:rsid w:val="009A4B8B"/>
    <w:rsid w:val="009B0DED"/>
    <w:rsid w:val="009B3D00"/>
    <w:rsid w:val="009B42CC"/>
    <w:rsid w:val="009B5525"/>
    <w:rsid w:val="009C1E41"/>
    <w:rsid w:val="009C50CE"/>
    <w:rsid w:val="009C686F"/>
    <w:rsid w:val="009D012F"/>
    <w:rsid w:val="009D4877"/>
    <w:rsid w:val="009E2027"/>
    <w:rsid w:val="009E3941"/>
    <w:rsid w:val="009E6363"/>
    <w:rsid w:val="009F7166"/>
    <w:rsid w:val="009F7400"/>
    <w:rsid w:val="00A02DBF"/>
    <w:rsid w:val="00A061C0"/>
    <w:rsid w:val="00A13A12"/>
    <w:rsid w:val="00A17C89"/>
    <w:rsid w:val="00A2222B"/>
    <w:rsid w:val="00A23B20"/>
    <w:rsid w:val="00A37D3E"/>
    <w:rsid w:val="00A4375D"/>
    <w:rsid w:val="00A54BEF"/>
    <w:rsid w:val="00A63C7C"/>
    <w:rsid w:val="00A659B6"/>
    <w:rsid w:val="00A6797B"/>
    <w:rsid w:val="00A73D28"/>
    <w:rsid w:val="00A74294"/>
    <w:rsid w:val="00A857AF"/>
    <w:rsid w:val="00AA33A0"/>
    <w:rsid w:val="00AA642A"/>
    <w:rsid w:val="00AB04BB"/>
    <w:rsid w:val="00AB2857"/>
    <w:rsid w:val="00AC260A"/>
    <w:rsid w:val="00AC59A7"/>
    <w:rsid w:val="00AC6B33"/>
    <w:rsid w:val="00AC7003"/>
    <w:rsid w:val="00AD6F11"/>
    <w:rsid w:val="00AD74A9"/>
    <w:rsid w:val="00AF3B57"/>
    <w:rsid w:val="00AF41D5"/>
    <w:rsid w:val="00AF76D2"/>
    <w:rsid w:val="00B04DBD"/>
    <w:rsid w:val="00B14110"/>
    <w:rsid w:val="00B1462E"/>
    <w:rsid w:val="00B223D4"/>
    <w:rsid w:val="00B306C1"/>
    <w:rsid w:val="00B316FB"/>
    <w:rsid w:val="00B32DAD"/>
    <w:rsid w:val="00B36E59"/>
    <w:rsid w:val="00B52A41"/>
    <w:rsid w:val="00B566C4"/>
    <w:rsid w:val="00B602D1"/>
    <w:rsid w:val="00B6374F"/>
    <w:rsid w:val="00B7210F"/>
    <w:rsid w:val="00B7388C"/>
    <w:rsid w:val="00B80223"/>
    <w:rsid w:val="00B80D2E"/>
    <w:rsid w:val="00B83FB0"/>
    <w:rsid w:val="00B866B4"/>
    <w:rsid w:val="00B90156"/>
    <w:rsid w:val="00B91352"/>
    <w:rsid w:val="00B9272F"/>
    <w:rsid w:val="00B97526"/>
    <w:rsid w:val="00BA5F46"/>
    <w:rsid w:val="00BB0280"/>
    <w:rsid w:val="00BB5B06"/>
    <w:rsid w:val="00BC6B41"/>
    <w:rsid w:val="00BD56BA"/>
    <w:rsid w:val="00BE3417"/>
    <w:rsid w:val="00BE6315"/>
    <w:rsid w:val="00BE7825"/>
    <w:rsid w:val="00BF4FC3"/>
    <w:rsid w:val="00C01841"/>
    <w:rsid w:val="00C11038"/>
    <w:rsid w:val="00C206B9"/>
    <w:rsid w:val="00C21513"/>
    <w:rsid w:val="00C355F3"/>
    <w:rsid w:val="00C54AA7"/>
    <w:rsid w:val="00C55C41"/>
    <w:rsid w:val="00C65A37"/>
    <w:rsid w:val="00C8107D"/>
    <w:rsid w:val="00C82B52"/>
    <w:rsid w:val="00C836B2"/>
    <w:rsid w:val="00C85C72"/>
    <w:rsid w:val="00C8642F"/>
    <w:rsid w:val="00C92A14"/>
    <w:rsid w:val="00C94A61"/>
    <w:rsid w:val="00C95189"/>
    <w:rsid w:val="00CA1A28"/>
    <w:rsid w:val="00CA7693"/>
    <w:rsid w:val="00CA7DCF"/>
    <w:rsid w:val="00CB6CD3"/>
    <w:rsid w:val="00CC7434"/>
    <w:rsid w:val="00CD7231"/>
    <w:rsid w:val="00CD740B"/>
    <w:rsid w:val="00CE2795"/>
    <w:rsid w:val="00CE3FAF"/>
    <w:rsid w:val="00CE506D"/>
    <w:rsid w:val="00CF0297"/>
    <w:rsid w:val="00CF4AAE"/>
    <w:rsid w:val="00D001D4"/>
    <w:rsid w:val="00D1083E"/>
    <w:rsid w:val="00D20BFD"/>
    <w:rsid w:val="00D26876"/>
    <w:rsid w:val="00D32C5C"/>
    <w:rsid w:val="00D37A0D"/>
    <w:rsid w:val="00D37F9D"/>
    <w:rsid w:val="00D45AFF"/>
    <w:rsid w:val="00D53B5C"/>
    <w:rsid w:val="00D542A5"/>
    <w:rsid w:val="00D569A9"/>
    <w:rsid w:val="00D609AB"/>
    <w:rsid w:val="00D62BC0"/>
    <w:rsid w:val="00D732D3"/>
    <w:rsid w:val="00D8336B"/>
    <w:rsid w:val="00D85573"/>
    <w:rsid w:val="00D8723E"/>
    <w:rsid w:val="00DA3CFF"/>
    <w:rsid w:val="00DA6F08"/>
    <w:rsid w:val="00DB14E8"/>
    <w:rsid w:val="00DB21F4"/>
    <w:rsid w:val="00DB354B"/>
    <w:rsid w:val="00DB36F7"/>
    <w:rsid w:val="00DB4181"/>
    <w:rsid w:val="00DB4BA1"/>
    <w:rsid w:val="00DB6447"/>
    <w:rsid w:val="00DB6AA5"/>
    <w:rsid w:val="00DC077D"/>
    <w:rsid w:val="00DC0A8E"/>
    <w:rsid w:val="00DC1359"/>
    <w:rsid w:val="00DC5247"/>
    <w:rsid w:val="00DC7203"/>
    <w:rsid w:val="00DD1827"/>
    <w:rsid w:val="00DE0778"/>
    <w:rsid w:val="00DE6CFA"/>
    <w:rsid w:val="00DE78EC"/>
    <w:rsid w:val="00DF7E96"/>
    <w:rsid w:val="00E03B6C"/>
    <w:rsid w:val="00E06AE9"/>
    <w:rsid w:val="00E079A5"/>
    <w:rsid w:val="00E11A3C"/>
    <w:rsid w:val="00E154A1"/>
    <w:rsid w:val="00E15B8F"/>
    <w:rsid w:val="00E16BB9"/>
    <w:rsid w:val="00E31015"/>
    <w:rsid w:val="00E31B65"/>
    <w:rsid w:val="00E41C65"/>
    <w:rsid w:val="00E478ED"/>
    <w:rsid w:val="00E5007E"/>
    <w:rsid w:val="00E50593"/>
    <w:rsid w:val="00E50DBC"/>
    <w:rsid w:val="00E53F08"/>
    <w:rsid w:val="00E569AB"/>
    <w:rsid w:val="00E626E1"/>
    <w:rsid w:val="00E6532B"/>
    <w:rsid w:val="00E72811"/>
    <w:rsid w:val="00E7550C"/>
    <w:rsid w:val="00E75694"/>
    <w:rsid w:val="00E803EF"/>
    <w:rsid w:val="00E80F57"/>
    <w:rsid w:val="00E84514"/>
    <w:rsid w:val="00E91504"/>
    <w:rsid w:val="00E92C77"/>
    <w:rsid w:val="00E953E1"/>
    <w:rsid w:val="00EB233D"/>
    <w:rsid w:val="00EB4619"/>
    <w:rsid w:val="00EB5703"/>
    <w:rsid w:val="00EC16D3"/>
    <w:rsid w:val="00EC549A"/>
    <w:rsid w:val="00ED065C"/>
    <w:rsid w:val="00ED3238"/>
    <w:rsid w:val="00EE6A31"/>
    <w:rsid w:val="00EF2452"/>
    <w:rsid w:val="00EF3DB3"/>
    <w:rsid w:val="00F04E37"/>
    <w:rsid w:val="00F06D67"/>
    <w:rsid w:val="00F14B75"/>
    <w:rsid w:val="00F21ADE"/>
    <w:rsid w:val="00F3413D"/>
    <w:rsid w:val="00F46869"/>
    <w:rsid w:val="00F479AD"/>
    <w:rsid w:val="00F64105"/>
    <w:rsid w:val="00F64416"/>
    <w:rsid w:val="00F65B38"/>
    <w:rsid w:val="00F65CDC"/>
    <w:rsid w:val="00F6686A"/>
    <w:rsid w:val="00F70863"/>
    <w:rsid w:val="00F70C3D"/>
    <w:rsid w:val="00F810E1"/>
    <w:rsid w:val="00F94420"/>
    <w:rsid w:val="00F950BC"/>
    <w:rsid w:val="00F957DF"/>
    <w:rsid w:val="00FA4145"/>
    <w:rsid w:val="00FB5D67"/>
    <w:rsid w:val="00FB7282"/>
    <w:rsid w:val="00FC2009"/>
    <w:rsid w:val="00FD3D26"/>
    <w:rsid w:val="00FD41F8"/>
    <w:rsid w:val="00FE3774"/>
    <w:rsid w:val="00FF1D20"/>
    <w:rsid w:val="00FF67B1"/>
    <w:rsid w:val="00FF7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B40"/>
    <w:rPr>
      <w:rFonts w:eastAsiaTheme="minorEastAsia"/>
    </w:rPr>
  </w:style>
  <w:style w:type="paragraph" w:styleId="Heading1">
    <w:name w:val="heading 1"/>
    <w:aliases w:val="Heading 1.I"/>
    <w:next w:val="Normal"/>
    <w:link w:val="Heading1Char"/>
    <w:qFormat/>
    <w:rsid w:val="00737205"/>
    <w:pPr>
      <w:keepNext/>
      <w:numPr>
        <w:numId w:val="6"/>
      </w:numPr>
      <w:spacing w:before="240" w:after="240" w:line="240" w:lineRule="auto"/>
      <w:jc w:val="center"/>
      <w:outlineLvl w:val="0"/>
    </w:pPr>
    <w:rPr>
      <w:rFonts w:ascii="Times New Roman Bold" w:eastAsia="Times New Roman" w:hAnsi="Times New Roman Bold" w:cs="Times New Roman"/>
      <w:b/>
      <w:smallCaps/>
      <w:noProof/>
      <w:sz w:val="28"/>
      <w:szCs w:val="20"/>
      <w:lang w:val="es-ES" w:eastAsia="es-ES"/>
    </w:rPr>
  </w:style>
  <w:style w:type="paragraph" w:styleId="Heading2">
    <w:name w:val="heading 2"/>
    <w:basedOn w:val="Normal"/>
    <w:next w:val="Normal"/>
    <w:link w:val="Heading2Char"/>
    <w:qFormat/>
    <w:rsid w:val="00937D90"/>
    <w:pPr>
      <w:keepNext/>
      <w:tabs>
        <w:tab w:val="num" w:pos="1080"/>
      </w:tabs>
      <w:spacing w:before="240" w:after="60" w:line="240" w:lineRule="auto"/>
      <w:ind w:left="720"/>
      <w:outlineLvl w:val="1"/>
    </w:pPr>
    <w:rPr>
      <w:rFonts w:ascii="Arial" w:eastAsia="Times New Roman" w:hAnsi="Arial" w:cs="Times New Roman"/>
      <w:b/>
      <w:i/>
      <w:sz w:val="24"/>
      <w:szCs w:val="24"/>
    </w:rPr>
  </w:style>
  <w:style w:type="paragraph" w:styleId="Heading3">
    <w:name w:val="heading 3"/>
    <w:basedOn w:val="Normal"/>
    <w:next w:val="Normal"/>
    <w:link w:val="Heading3Char"/>
    <w:qFormat/>
    <w:rsid w:val="00937D90"/>
    <w:pPr>
      <w:keepNext/>
      <w:tabs>
        <w:tab w:val="num" w:pos="1800"/>
      </w:tabs>
      <w:spacing w:before="240" w:after="60" w:line="240" w:lineRule="auto"/>
      <w:ind w:left="1440"/>
      <w:outlineLvl w:val="2"/>
    </w:pPr>
    <w:rPr>
      <w:rFonts w:ascii="Arial" w:eastAsia="Times New Roman" w:hAnsi="Arial" w:cs="Times New Roman"/>
      <w:sz w:val="24"/>
      <w:szCs w:val="24"/>
    </w:rPr>
  </w:style>
  <w:style w:type="paragraph" w:styleId="Heading4">
    <w:name w:val="heading 4"/>
    <w:aliases w:val="Heading 4.a"/>
    <w:next w:val="Normal"/>
    <w:link w:val="Heading4Char"/>
    <w:qFormat/>
    <w:rsid w:val="00737205"/>
    <w:pPr>
      <w:keepNext/>
      <w:numPr>
        <w:ilvl w:val="2"/>
        <w:numId w:val="6"/>
      </w:numPr>
      <w:tabs>
        <w:tab w:val="left" w:pos="1440"/>
      </w:tabs>
      <w:spacing w:before="120" w:after="120" w:line="240" w:lineRule="auto"/>
      <w:jc w:val="both"/>
      <w:outlineLvl w:val="3"/>
    </w:pPr>
    <w:rPr>
      <w:rFonts w:ascii="Times New Roman Bold" w:eastAsia="Times New Roman" w:hAnsi="Times New Roman Bold" w:cs="Times New Roman"/>
      <w:b/>
      <w:noProof/>
      <w:sz w:val="24"/>
      <w:szCs w:val="20"/>
      <w:lang w:val="es-ES" w:eastAsia="es-ES"/>
    </w:rPr>
  </w:style>
  <w:style w:type="paragraph" w:styleId="Heading5">
    <w:name w:val="heading 5"/>
    <w:aliases w:val="Heading 5.(i)"/>
    <w:next w:val="Normal"/>
    <w:link w:val="Heading5Char"/>
    <w:qFormat/>
    <w:rsid w:val="00737205"/>
    <w:pPr>
      <w:keepNext/>
      <w:numPr>
        <w:ilvl w:val="3"/>
        <w:numId w:val="6"/>
      </w:numPr>
      <w:spacing w:before="120" w:after="120" w:line="240" w:lineRule="auto"/>
      <w:jc w:val="both"/>
      <w:outlineLvl w:val="4"/>
    </w:pPr>
    <w:rPr>
      <w:rFonts w:ascii="Times New Roman Bold" w:eastAsia="Times New Roman" w:hAnsi="Times New Roman Bold" w:cs="Times New Roman"/>
      <w:b/>
      <w:noProof/>
      <w:sz w:val="24"/>
      <w:szCs w:val="20"/>
      <w:lang w:val="es-ES" w:eastAsia="es-ES"/>
    </w:rPr>
  </w:style>
  <w:style w:type="paragraph" w:styleId="Heading7">
    <w:name w:val="heading 7"/>
    <w:basedOn w:val="Normal"/>
    <w:next w:val="Normal"/>
    <w:link w:val="Heading7Char"/>
    <w:qFormat/>
    <w:rsid w:val="00737205"/>
    <w:pPr>
      <w:numPr>
        <w:ilvl w:val="6"/>
        <w:numId w:val="1"/>
      </w:numPr>
      <w:spacing w:before="240" w:after="60" w:line="240" w:lineRule="auto"/>
      <w:outlineLvl w:val="6"/>
    </w:pPr>
    <w:rPr>
      <w:rFonts w:ascii="Calibri" w:eastAsia="Times New Roman" w:hAnsi="Calibri" w:cs="Times New Roman"/>
      <w:sz w:val="24"/>
      <w:szCs w:val="24"/>
      <w:lang w:val="x-none" w:eastAsia="x-none"/>
    </w:rPr>
  </w:style>
  <w:style w:type="paragraph" w:styleId="Heading8">
    <w:name w:val="heading 8"/>
    <w:basedOn w:val="Normal"/>
    <w:next w:val="Normal"/>
    <w:link w:val="Heading8Char"/>
    <w:qFormat/>
    <w:rsid w:val="00737205"/>
    <w:pPr>
      <w:numPr>
        <w:ilvl w:val="7"/>
        <w:numId w:val="1"/>
      </w:numPr>
      <w:spacing w:before="240" w:after="60" w:line="240" w:lineRule="auto"/>
      <w:outlineLvl w:val="7"/>
    </w:pPr>
    <w:rPr>
      <w:rFonts w:ascii="Calibri" w:eastAsia="Times New Roman" w:hAnsi="Calibri" w:cs="Times New Roman"/>
      <w:i/>
      <w:iCs/>
      <w:sz w:val="24"/>
      <w:szCs w:val="24"/>
      <w:lang w:val="x-none" w:eastAsia="x-none"/>
    </w:rPr>
  </w:style>
  <w:style w:type="paragraph" w:styleId="Heading9">
    <w:name w:val="heading 9"/>
    <w:basedOn w:val="Normal"/>
    <w:next w:val="Normal"/>
    <w:link w:val="Heading9Char"/>
    <w:qFormat/>
    <w:rsid w:val="00737205"/>
    <w:pPr>
      <w:numPr>
        <w:ilvl w:val="8"/>
        <w:numId w:val="1"/>
      </w:numPr>
      <w:spacing w:before="240" w:after="60" w:line="240" w:lineRule="auto"/>
      <w:outlineLvl w:val="8"/>
    </w:pPr>
    <w:rPr>
      <w:rFonts w:ascii="Cambria" w:eastAsia="Times New Roman" w:hAnsi="Cambria" w:cs="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link w:val="ColorfulList-Accent1Char"/>
    <w:uiPriority w:val="99"/>
    <w:qFormat/>
    <w:rsid w:val="00F14B75"/>
    <w:pPr>
      <w:spacing w:after="0" w:line="240" w:lineRule="auto"/>
      <w:ind w:left="720"/>
      <w:contextualSpacing/>
    </w:pPr>
    <w:rPr>
      <w:rFonts w:ascii="Calibri" w:eastAsia="Calibri" w:hAnsi="Calibri" w:cs="Times New Roman"/>
      <w:lang w:val="x-none" w:eastAsia="x-none"/>
    </w:rPr>
  </w:style>
  <w:style w:type="character" w:customStyle="1" w:styleId="ColorfulList-Accent1Char">
    <w:name w:val="Colorful List - Accent 1 Char"/>
    <w:link w:val="ColorfulList-Accent11"/>
    <w:uiPriority w:val="99"/>
    <w:rsid w:val="00F14B75"/>
    <w:rPr>
      <w:rFonts w:ascii="Calibri" w:eastAsia="Calibri" w:hAnsi="Calibri" w:cs="Times New Roman"/>
      <w:lang w:val="x-none" w:eastAsia="x-none"/>
    </w:rPr>
  </w:style>
  <w:style w:type="character" w:customStyle="1" w:styleId="Heading1Char">
    <w:name w:val="Heading 1 Char"/>
    <w:aliases w:val="Heading 1.I Char"/>
    <w:basedOn w:val="DefaultParagraphFont"/>
    <w:link w:val="Heading1"/>
    <w:rsid w:val="00737205"/>
    <w:rPr>
      <w:rFonts w:ascii="Times New Roman Bold" w:eastAsia="Times New Roman" w:hAnsi="Times New Roman Bold" w:cs="Times New Roman"/>
      <w:b/>
      <w:smallCaps/>
      <w:noProof/>
      <w:sz w:val="28"/>
      <w:szCs w:val="20"/>
      <w:lang w:val="es-ES" w:eastAsia="es-ES"/>
    </w:rPr>
  </w:style>
  <w:style w:type="character" w:customStyle="1" w:styleId="Heading4Char">
    <w:name w:val="Heading 4 Char"/>
    <w:aliases w:val="Heading 4.a Char"/>
    <w:basedOn w:val="DefaultParagraphFont"/>
    <w:link w:val="Heading4"/>
    <w:rsid w:val="00737205"/>
    <w:rPr>
      <w:rFonts w:ascii="Times New Roman Bold" w:eastAsia="Times New Roman" w:hAnsi="Times New Roman Bold" w:cs="Times New Roman"/>
      <w:b/>
      <w:noProof/>
      <w:sz w:val="24"/>
      <w:szCs w:val="20"/>
      <w:lang w:val="es-ES" w:eastAsia="es-ES"/>
    </w:rPr>
  </w:style>
  <w:style w:type="character" w:customStyle="1" w:styleId="Heading5Char">
    <w:name w:val="Heading 5 Char"/>
    <w:aliases w:val="Heading 5.(i) Char"/>
    <w:basedOn w:val="DefaultParagraphFont"/>
    <w:link w:val="Heading5"/>
    <w:rsid w:val="00737205"/>
    <w:rPr>
      <w:rFonts w:ascii="Times New Roman Bold" w:eastAsia="Times New Roman" w:hAnsi="Times New Roman Bold" w:cs="Times New Roman"/>
      <w:b/>
      <w:noProof/>
      <w:sz w:val="24"/>
      <w:szCs w:val="20"/>
      <w:lang w:val="es-ES" w:eastAsia="es-ES"/>
    </w:rPr>
  </w:style>
  <w:style w:type="character" w:customStyle="1" w:styleId="Heading7Char">
    <w:name w:val="Heading 7 Char"/>
    <w:basedOn w:val="DefaultParagraphFont"/>
    <w:link w:val="Heading7"/>
    <w:rsid w:val="00737205"/>
    <w:rPr>
      <w:rFonts w:ascii="Calibri" w:eastAsia="Times New Roman" w:hAnsi="Calibri" w:cs="Times New Roman"/>
      <w:sz w:val="24"/>
      <w:szCs w:val="24"/>
      <w:lang w:val="x-none" w:eastAsia="x-none"/>
    </w:rPr>
  </w:style>
  <w:style w:type="character" w:customStyle="1" w:styleId="Heading8Char">
    <w:name w:val="Heading 8 Char"/>
    <w:basedOn w:val="DefaultParagraphFont"/>
    <w:link w:val="Heading8"/>
    <w:rsid w:val="00737205"/>
    <w:rPr>
      <w:rFonts w:ascii="Calibri" w:eastAsia="Times New Roman" w:hAnsi="Calibri" w:cs="Times New Roman"/>
      <w:i/>
      <w:iCs/>
      <w:sz w:val="24"/>
      <w:szCs w:val="24"/>
      <w:lang w:val="x-none" w:eastAsia="x-none"/>
    </w:rPr>
  </w:style>
  <w:style w:type="character" w:customStyle="1" w:styleId="Heading9Char">
    <w:name w:val="Heading 9 Char"/>
    <w:basedOn w:val="DefaultParagraphFont"/>
    <w:link w:val="Heading9"/>
    <w:rsid w:val="00737205"/>
    <w:rPr>
      <w:rFonts w:ascii="Cambria" w:eastAsia="Times New Roman" w:hAnsi="Cambria" w:cs="Times New Roman"/>
      <w:lang w:val="x-none" w:eastAsia="x-none"/>
    </w:rPr>
  </w:style>
  <w:style w:type="paragraph" w:styleId="Footer">
    <w:name w:val="footer"/>
    <w:basedOn w:val="Normal"/>
    <w:link w:val="FooterChar"/>
    <w:uiPriority w:val="99"/>
    <w:rsid w:val="00737205"/>
    <w:pPr>
      <w:tabs>
        <w:tab w:val="center" w:pos="4320"/>
        <w:tab w:val="right" w:pos="8640"/>
      </w:tabs>
      <w:spacing w:after="0" w:line="240" w:lineRule="auto"/>
    </w:pPr>
    <w:rPr>
      <w:rFonts w:ascii="Times New Roman" w:eastAsia="Times New Roman" w:hAnsi="Times New Roman" w:cs="Times New Roman"/>
      <w:spacing w:val="-3"/>
      <w:sz w:val="20"/>
      <w:szCs w:val="20"/>
      <w:lang w:val="es-ES_tradnl"/>
    </w:rPr>
  </w:style>
  <w:style w:type="character" w:customStyle="1" w:styleId="FooterChar">
    <w:name w:val="Footer Char"/>
    <w:basedOn w:val="DefaultParagraphFont"/>
    <w:link w:val="Footer"/>
    <w:uiPriority w:val="99"/>
    <w:rsid w:val="00737205"/>
    <w:rPr>
      <w:rFonts w:ascii="Times New Roman" w:eastAsia="Times New Roman" w:hAnsi="Times New Roman" w:cs="Times New Roman"/>
      <w:spacing w:val="-3"/>
      <w:sz w:val="20"/>
      <w:szCs w:val="20"/>
      <w:lang w:val="es-ES_tradnl"/>
    </w:rPr>
  </w:style>
  <w:style w:type="paragraph" w:customStyle="1" w:styleId="Chapter">
    <w:name w:val="Chapter"/>
    <w:basedOn w:val="Normal"/>
    <w:next w:val="Normal"/>
    <w:link w:val="ChapterChar"/>
    <w:rsid w:val="00737205"/>
    <w:pPr>
      <w:keepNext/>
      <w:numPr>
        <w:numId w:val="1"/>
      </w:numPr>
      <w:tabs>
        <w:tab w:val="left" w:pos="1440"/>
      </w:tabs>
      <w:spacing w:before="240" w:after="240" w:line="240" w:lineRule="auto"/>
      <w:jc w:val="center"/>
    </w:pPr>
    <w:rPr>
      <w:rFonts w:ascii="Times New Roman" w:eastAsia="Calibri" w:hAnsi="Times New Roman" w:cs="Times New Roman"/>
      <w:b/>
      <w:smallCaps/>
      <w:sz w:val="24"/>
      <w:lang w:val="x-none" w:eastAsia="x-none"/>
    </w:rPr>
  </w:style>
  <w:style w:type="character" w:customStyle="1" w:styleId="ChapterChar">
    <w:name w:val="Chapter Char"/>
    <w:link w:val="Chapter"/>
    <w:rsid w:val="00737205"/>
    <w:rPr>
      <w:rFonts w:ascii="Times New Roman" w:eastAsia="Calibri" w:hAnsi="Times New Roman" w:cs="Times New Roman"/>
      <w:b/>
      <w:smallCaps/>
      <w:sz w:val="24"/>
      <w:lang w:val="x-none" w:eastAsia="x-none"/>
    </w:rPr>
  </w:style>
  <w:style w:type="paragraph" w:customStyle="1" w:styleId="Paragraph">
    <w:name w:val="Paragraph"/>
    <w:aliases w:val="paragraph,p,PARAGRAPH,PG,pa,at"/>
    <w:basedOn w:val="BodyTextIndent"/>
    <w:link w:val="ParagraphChar"/>
    <w:qFormat/>
    <w:rsid w:val="00737205"/>
    <w:pPr>
      <w:tabs>
        <w:tab w:val="num" w:pos="720"/>
      </w:tabs>
      <w:spacing w:before="120" w:line="240" w:lineRule="auto"/>
      <w:ind w:hanging="720"/>
      <w:jc w:val="both"/>
      <w:outlineLvl w:val="1"/>
    </w:pPr>
    <w:rPr>
      <w:rFonts w:ascii="Times New Roman" w:eastAsia="Calibri" w:hAnsi="Times New Roman" w:cs="Times New Roman"/>
      <w:sz w:val="24"/>
      <w:lang w:val="x-none" w:eastAsia="x-none"/>
    </w:rPr>
  </w:style>
  <w:style w:type="character" w:customStyle="1" w:styleId="ParagraphChar">
    <w:name w:val="Paragraph Char"/>
    <w:link w:val="Paragraph"/>
    <w:rsid w:val="00737205"/>
    <w:rPr>
      <w:rFonts w:ascii="Times New Roman" w:eastAsia="Calibri" w:hAnsi="Times New Roman" w:cs="Times New Roman"/>
      <w:sz w:val="24"/>
      <w:lang w:val="x-none" w:eastAsia="x-none"/>
    </w:rPr>
  </w:style>
  <w:style w:type="paragraph" w:customStyle="1" w:styleId="AutoNumpara">
    <w:name w:val="AutoNumpara"/>
    <w:basedOn w:val="BodyTextIndent"/>
    <w:uiPriority w:val="99"/>
    <w:rsid w:val="00737205"/>
    <w:pPr>
      <w:numPr>
        <w:ilvl w:val="1"/>
        <w:numId w:val="6"/>
      </w:numPr>
      <w:spacing w:before="120" w:line="240" w:lineRule="auto"/>
      <w:jc w:val="both"/>
    </w:pPr>
    <w:rPr>
      <w:rFonts w:ascii="Times New Roman" w:eastAsia="Times New Roman" w:hAnsi="Times New Roman" w:cs="Times New Roman"/>
      <w:noProof/>
      <w:spacing w:val="-2"/>
      <w:sz w:val="24"/>
      <w:szCs w:val="20"/>
      <w:lang w:val="es-ES_tradnl" w:eastAsia="x-none"/>
    </w:rPr>
  </w:style>
  <w:style w:type="paragraph" w:styleId="BodyText2">
    <w:name w:val="Body Text 2"/>
    <w:basedOn w:val="Normal"/>
    <w:link w:val="BodyText2Char"/>
    <w:rsid w:val="00737205"/>
    <w:pPr>
      <w:spacing w:after="120" w:line="480" w:lineRule="auto"/>
    </w:pPr>
    <w:rPr>
      <w:rFonts w:ascii="Times New Roman" w:eastAsia="Times New Roman" w:hAnsi="Times New Roman" w:cs="Times New Roman"/>
      <w:spacing w:val="-3"/>
      <w:sz w:val="24"/>
      <w:szCs w:val="20"/>
      <w:lang w:val="es-ES_tradnl"/>
    </w:rPr>
  </w:style>
  <w:style w:type="character" w:customStyle="1" w:styleId="BodyText2Char">
    <w:name w:val="Body Text 2 Char"/>
    <w:basedOn w:val="DefaultParagraphFont"/>
    <w:link w:val="BodyText2"/>
    <w:rsid w:val="00737205"/>
    <w:rPr>
      <w:rFonts w:ascii="Times New Roman" w:eastAsia="Times New Roman" w:hAnsi="Times New Roman" w:cs="Times New Roman"/>
      <w:spacing w:val="-3"/>
      <w:sz w:val="24"/>
      <w:szCs w:val="20"/>
      <w:lang w:val="es-ES_tradnl"/>
    </w:rPr>
  </w:style>
  <w:style w:type="paragraph" w:styleId="BodyTextIndent">
    <w:name w:val="Body Text Indent"/>
    <w:basedOn w:val="Normal"/>
    <w:link w:val="BodyTextIndentChar"/>
    <w:uiPriority w:val="99"/>
    <w:semiHidden/>
    <w:unhideWhenUsed/>
    <w:rsid w:val="00737205"/>
    <w:pPr>
      <w:spacing w:after="120"/>
      <w:ind w:left="360"/>
    </w:pPr>
  </w:style>
  <w:style w:type="character" w:customStyle="1" w:styleId="BodyTextIndentChar">
    <w:name w:val="Body Text Indent Char"/>
    <w:basedOn w:val="DefaultParagraphFont"/>
    <w:link w:val="BodyTextIndent"/>
    <w:uiPriority w:val="99"/>
    <w:semiHidden/>
    <w:rsid w:val="00737205"/>
    <w:rPr>
      <w:rFonts w:eastAsiaTheme="minorEastAsia"/>
    </w:rPr>
  </w:style>
  <w:style w:type="paragraph" w:styleId="TOC1">
    <w:name w:val="toc 1"/>
    <w:basedOn w:val="Normal"/>
    <w:next w:val="Normal"/>
    <w:uiPriority w:val="39"/>
    <w:rsid w:val="00807988"/>
    <w:pPr>
      <w:spacing w:before="120" w:after="0"/>
    </w:pPr>
    <w:rPr>
      <w:rFonts w:ascii="Times New Roman" w:eastAsia="ヒラギノ角ゴ Pro W3" w:hAnsi="Times New Roman" w:cs="Times New Roman"/>
      <w:b/>
      <w:i/>
      <w:color w:val="000000"/>
      <w:sz w:val="24"/>
      <w:szCs w:val="24"/>
    </w:rPr>
  </w:style>
  <w:style w:type="paragraph" w:styleId="TOC2">
    <w:name w:val="toc 2"/>
    <w:basedOn w:val="Normal"/>
    <w:next w:val="Normal"/>
    <w:uiPriority w:val="39"/>
    <w:rsid w:val="00807988"/>
    <w:pPr>
      <w:spacing w:before="120" w:after="0"/>
      <w:ind w:left="220"/>
    </w:pPr>
    <w:rPr>
      <w:rFonts w:ascii="Times New Roman" w:eastAsia="ヒラギノ角ゴ Pro W3" w:hAnsi="Times New Roman" w:cs="Times New Roman"/>
      <w:b/>
      <w:color w:val="000000"/>
    </w:rPr>
  </w:style>
  <w:style w:type="paragraph" w:styleId="ListParagraph">
    <w:name w:val="List Paragraph"/>
    <w:basedOn w:val="Normal"/>
    <w:uiPriority w:val="34"/>
    <w:qFormat/>
    <w:rsid w:val="006D699A"/>
    <w:pPr>
      <w:ind w:left="720"/>
      <w:contextualSpacing/>
    </w:pPr>
  </w:style>
  <w:style w:type="paragraph" w:styleId="TOCHeading">
    <w:name w:val="TOC Heading"/>
    <w:basedOn w:val="Heading1"/>
    <w:next w:val="Normal"/>
    <w:uiPriority w:val="39"/>
    <w:semiHidden/>
    <w:unhideWhenUsed/>
    <w:qFormat/>
    <w:rsid w:val="00CF0297"/>
    <w:pPr>
      <w:keepLines/>
      <w:numPr>
        <w:numId w:val="0"/>
      </w:numPr>
      <w:spacing w:before="480" w:after="0" w:line="276" w:lineRule="auto"/>
      <w:jc w:val="left"/>
      <w:outlineLvl w:val="9"/>
    </w:pPr>
    <w:rPr>
      <w:rFonts w:asciiTheme="majorHAnsi" w:eastAsiaTheme="majorEastAsia" w:hAnsiTheme="majorHAnsi" w:cstheme="majorBidi"/>
      <w:bCs/>
      <w:smallCaps w:val="0"/>
      <w:noProof w:val="0"/>
      <w:color w:val="365F91" w:themeColor="accent1" w:themeShade="BF"/>
      <w:szCs w:val="28"/>
      <w:lang w:val="en-US" w:eastAsia="ja-JP"/>
    </w:rPr>
  </w:style>
  <w:style w:type="character" w:styleId="Hyperlink">
    <w:name w:val="Hyperlink"/>
    <w:basedOn w:val="DefaultParagraphFont"/>
    <w:uiPriority w:val="99"/>
    <w:unhideWhenUsed/>
    <w:rsid w:val="00CF0297"/>
    <w:rPr>
      <w:color w:val="0000FF" w:themeColor="hyperlink"/>
      <w:u w:val="single"/>
    </w:rPr>
  </w:style>
  <w:style w:type="paragraph" w:styleId="BalloonText">
    <w:name w:val="Balloon Text"/>
    <w:basedOn w:val="Normal"/>
    <w:link w:val="BalloonTextChar"/>
    <w:uiPriority w:val="99"/>
    <w:semiHidden/>
    <w:unhideWhenUsed/>
    <w:rsid w:val="00CF0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297"/>
    <w:rPr>
      <w:rFonts w:ascii="Tahoma" w:eastAsiaTheme="minorEastAsia" w:hAnsi="Tahoma" w:cs="Tahoma"/>
      <w:sz w:val="16"/>
      <w:szCs w:val="16"/>
    </w:rPr>
  </w:style>
  <w:style w:type="paragraph" w:styleId="FootnoteText">
    <w:name w:val="footnote text"/>
    <w:aliases w:val="fn,Texto nota pie IIRSA,ft,foottextfra,footnote,F,Footnote Text Char Char Char Char Char Char,Footnote Text Char Char Char Char1,Footnote Text Char Char Char Char Char1,Footnote Text Char Char Char Char Char,Footnote Text Char Char Char,f"/>
    <w:basedOn w:val="Normal"/>
    <w:link w:val="FootnoteTextChar"/>
    <w:uiPriority w:val="99"/>
    <w:qFormat/>
    <w:rsid w:val="00F6686A"/>
    <w:pPr>
      <w:keepNext/>
      <w:keepLines/>
      <w:spacing w:after="120" w:line="240" w:lineRule="auto"/>
      <w:ind w:left="288" w:hanging="288"/>
      <w:jc w:val="both"/>
    </w:pPr>
    <w:rPr>
      <w:rFonts w:ascii="Times New Roman" w:eastAsia="MS Mincho" w:hAnsi="Times New Roman" w:cs="Times New Roman"/>
      <w:spacing w:val="-3"/>
      <w:sz w:val="20"/>
      <w:szCs w:val="20"/>
      <w:lang w:val="es-ES_tradnl" w:eastAsia="zh-CN"/>
    </w:rPr>
  </w:style>
  <w:style w:type="character" w:customStyle="1" w:styleId="FootnoteTextChar">
    <w:name w:val="Footnote Text Char"/>
    <w:aliases w:val="fn Char,Texto nota pie IIRSA Char,ft Char,foottextfra Char,footnote Char,F Char,Footnote Text Char Char Char Char Char Char Char,Footnote Text Char Char Char Char1 Char,Footnote Text Char Char Char Char Char1 Char,f Char"/>
    <w:basedOn w:val="DefaultParagraphFont"/>
    <w:link w:val="FootnoteText"/>
    <w:uiPriority w:val="99"/>
    <w:rsid w:val="00F6686A"/>
    <w:rPr>
      <w:rFonts w:ascii="Times New Roman" w:eastAsia="MS Mincho" w:hAnsi="Times New Roman" w:cs="Times New Roman"/>
      <w:spacing w:val="-3"/>
      <w:sz w:val="20"/>
      <w:szCs w:val="20"/>
      <w:lang w:val="es-ES_tradnl" w:eastAsia="zh-CN"/>
    </w:rPr>
  </w:style>
  <w:style w:type="paragraph" w:customStyle="1" w:styleId="ABBR">
    <w:name w:val="ABBR"/>
    <w:basedOn w:val="Normal"/>
    <w:rsid w:val="00F6686A"/>
    <w:pPr>
      <w:spacing w:after="0" w:line="240" w:lineRule="auto"/>
    </w:pPr>
    <w:rPr>
      <w:rFonts w:ascii="Times New Roman" w:eastAsia="MS Mincho" w:hAnsi="Times New Roman" w:cs="Times New Roman"/>
      <w:caps/>
      <w:sz w:val="24"/>
      <w:szCs w:val="24"/>
    </w:rPr>
  </w:style>
  <w:style w:type="paragraph" w:customStyle="1" w:styleId="AbbrDesc">
    <w:name w:val="AbbrDesc"/>
    <w:basedOn w:val="Normal"/>
    <w:rsid w:val="00F6686A"/>
    <w:pPr>
      <w:tabs>
        <w:tab w:val="left" w:pos="3060"/>
      </w:tabs>
      <w:spacing w:after="0" w:line="240" w:lineRule="auto"/>
      <w:jc w:val="both"/>
    </w:pPr>
    <w:rPr>
      <w:rFonts w:ascii="Times New Roman" w:eastAsia="MS Mincho" w:hAnsi="Times New Roman" w:cs="Times New Roman"/>
      <w:sz w:val="24"/>
      <w:szCs w:val="24"/>
    </w:rPr>
  </w:style>
  <w:style w:type="character" w:styleId="FootnoteReference">
    <w:name w:val="footnote reference"/>
    <w:aliases w:val="ftref,titulo 2,FC,referencia nota al pie,Fußnotenzeichen DISS,Footnote Reference Number,Footnote Reference_LVL6,Footnote Reference_LVL61,Footnote Reference_LVL62,Footnote Reference_LVL63,Footnote Reference_LVL64,16 Point"/>
    <w:basedOn w:val="DefaultParagraphFont"/>
    <w:uiPriority w:val="99"/>
    <w:rsid w:val="000B27AA"/>
    <w:rPr>
      <w:rFonts w:ascii="Times New Roman" w:hAnsi="Times New Roman" w:cs="Times New Roman"/>
      <w:sz w:val="20"/>
      <w:vertAlign w:val="superscript"/>
    </w:rPr>
  </w:style>
  <w:style w:type="paragraph" w:customStyle="1" w:styleId="subpar">
    <w:name w:val="subpar"/>
    <w:basedOn w:val="BodyTextIndent3"/>
    <w:link w:val="subparChar"/>
    <w:rsid w:val="000B27AA"/>
    <w:pPr>
      <w:tabs>
        <w:tab w:val="num" w:pos="1674"/>
      </w:tabs>
      <w:spacing w:before="120" w:line="240" w:lineRule="auto"/>
      <w:ind w:left="1674" w:hanging="432"/>
      <w:jc w:val="both"/>
      <w:outlineLvl w:val="2"/>
    </w:pPr>
    <w:rPr>
      <w:rFonts w:ascii="Times New Roman" w:eastAsia="MS Mincho" w:hAnsi="Times New Roman" w:cs="Times New Roman"/>
      <w:sz w:val="24"/>
      <w:lang w:val="es-ES_tradnl" w:eastAsia="zh-CN"/>
    </w:rPr>
  </w:style>
  <w:style w:type="character" w:customStyle="1" w:styleId="subparChar">
    <w:name w:val="subpar Char"/>
    <w:link w:val="subpar"/>
    <w:locked/>
    <w:rsid w:val="000B27AA"/>
    <w:rPr>
      <w:rFonts w:ascii="Times New Roman" w:eastAsia="MS Mincho" w:hAnsi="Times New Roman" w:cs="Times New Roman"/>
      <w:sz w:val="24"/>
      <w:szCs w:val="16"/>
      <w:lang w:val="es-ES_tradnl" w:eastAsia="zh-CN"/>
    </w:rPr>
  </w:style>
  <w:style w:type="paragraph" w:customStyle="1" w:styleId="SubSubPar">
    <w:name w:val="SubSubPar"/>
    <w:basedOn w:val="subpar"/>
    <w:link w:val="SubSubParChar"/>
    <w:rsid w:val="000B27AA"/>
    <w:pPr>
      <w:tabs>
        <w:tab w:val="left" w:pos="0"/>
        <w:tab w:val="num" w:pos="1296"/>
      </w:tabs>
      <w:ind w:left="1296" w:hanging="360"/>
    </w:pPr>
  </w:style>
  <w:style w:type="paragraph" w:styleId="BodyTextIndent3">
    <w:name w:val="Body Text Indent 3"/>
    <w:basedOn w:val="Normal"/>
    <w:link w:val="BodyTextIndent3Char"/>
    <w:uiPriority w:val="99"/>
    <w:unhideWhenUsed/>
    <w:rsid w:val="000B27AA"/>
    <w:pPr>
      <w:spacing w:after="120"/>
      <w:ind w:left="360"/>
    </w:pPr>
    <w:rPr>
      <w:sz w:val="16"/>
      <w:szCs w:val="16"/>
    </w:rPr>
  </w:style>
  <w:style w:type="character" w:customStyle="1" w:styleId="BodyTextIndent3Char">
    <w:name w:val="Body Text Indent 3 Char"/>
    <w:basedOn w:val="DefaultParagraphFont"/>
    <w:link w:val="BodyTextIndent3"/>
    <w:uiPriority w:val="99"/>
    <w:rsid w:val="000B27AA"/>
    <w:rPr>
      <w:rFonts w:eastAsiaTheme="minorEastAsia"/>
      <w:sz w:val="16"/>
      <w:szCs w:val="16"/>
    </w:rPr>
  </w:style>
  <w:style w:type="character" w:customStyle="1" w:styleId="Heading2Char">
    <w:name w:val="Heading 2 Char"/>
    <w:basedOn w:val="DefaultParagraphFont"/>
    <w:link w:val="Heading2"/>
    <w:rsid w:val="00937D90"/>
    <w:rPr>
      <w:rFonts w:ascii="Arial" w:eastAsia="Times New Roman" w:hAnsi="Arial" w:cs="Times New Roman"/>
      <w:b/>
      <w:i/>
      <w:sz w:val="24"/>
      <w:szCs w:val="24"/>
    </w:rPr>
  </w:style>
  <w:style w:type="character" w:customStyle="1" w:styleId="Heading3Char">
    <w:name w:val="Heading 3 Char"/>
    <w:basedOn w:val="DefaultParagraphFont"/>
    <w:link w:val="Heading3"/>
    <w:rsid w:val="00937D90"/>
    <w:rPr>
      <w:rFonts w:ascii="Arial" w:eastAsia="Times New Roman" w:hAnsi="Arial" w:cs="Times New Roman"/>
      <w:sz w:val="24"/>
      <w:szCs w:val="24"/>
    </w:rPr>
  </w:style>
  <w:style w:type="paragraph" w:styleId="BodyText">
    <w:name w:val="Body Text"/>
    <w:basedOn w:val="Normal"/>
    <w:link w:val="BodyTextChar"/>
    <w:uiPriority w:val="99"/>
    <w:semiHidden/>
    <w:unhideWhenUsed/>
    <w:rsid w:val="00937D90"/>
    <w:pPr>
      <w:spacing w:after="120"/>
    </w:pPr>
  </w:style>
  <w:style w:type="character" w:customStyle="1" w:styleId="BodyTextChar">
    <w:name w:val="Body Text Char"/>
    <w:basedOn w:val="DefaultParagraphFont"/>
    <w:link w:val="BodyText"/>
    <w:uiPriority w:val="99"/>
    <w:semiHidden/>
    <w:rsid w:val="00937D90"/>
    <w:rPr>
      <w:rFonts w:eastAsiaTheme="minorEastAsia"/>
    </w:rPr>
  </w:style>
  <w:style w:type="paragraph" w:styleId="Caption">
    <w:name w:val="caption"/>
    <w:basedOn w:val="Normal"/>
    <w:next w:val="Normal"/>
    <w:uiPriority w:val="99"/>
    <w:qFormat/>
    <w:rsid w:val="00937D90"/>
    <w:pPr>
      <w:widowControl w:val="0"/>
      <w:spacing w:after="0" w:line="240" w:lineRule="auto"/>
    </w:pPr>
    <w:rPr>
      <w:rFonts w:ascii="Times New Roman" w:eastAsia="MS Mincho" w:hAnsi="Times New Roman" w:cs="Times New Roman"/>
      <w:spacing w:val="-3"/>
      <w:sz w:val="24"/>
      <w:szCs w:val="20"/>
      <w:lang w:val="es-ES_tradnl"/>
    </w:rPr>
  </w:style>
  <w:style w:type="paragraph" w:customStyle="1" w:styleId="Default">
    <w:name w:val="Default"/>
    <w:uiPriority w:val="99"/>
    <w:rsid w:val="00937D90"/>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styleId="TOC3">
    <w:name w:val="toc 3"/>
    <w:basedOn w:val="Normal"/>
    <w:next w:val="Normal"/>
    <w:autoRedefine/>
    <w:uiPriority w:val="39"/>
    <w:unhideWhenUsed/>
    <w:rsid w:val="00FD3D26"/>
    <w:pPr>
      <w:spacing w:after="100"/>
      <w:ind w:left="440"/>
    </w:pPr>
  </w:style>
  <w:style w:type="paragraph" w:styleId="TOC4">
    <w:name w:val="toc 4"/>
    <w:basedOn w:val="Normal"/>
    <w:next w:val="Normal"/>
    <w:autoRedefine/>
    <w:uiPriority w:val="39"/>
    <w:unhideWhenUsed/>
    <w:rsid w:val="00FD3D26"/>
    <w:pPr>
      <w:spacing w:after="100"/>
      <w:ind w:left="660"/>
    </w:pPr>
    <w:rPr>
      <w:lang w:val="es-ES" w:eastAsia="es-ES"/>
    </w:rPr>
  </w:style>
  <w:style w:type="paragraph" w:styleId="TOC5">
    <w:name w:val="toc 5"/>
    <w:basedOn w:val="Normal"/>
    <w:next w:val="Normal"/>
    <w:autoRedefine/>
    <w:uiPriority w:val="39"/>
    <w:unhideWhenUsed/>
    <w:rsid w:val="00FD3D26"/>
    <w:pPr>
      <w:spacing w:after="100"/>
      <w:ind w:left="880"/>
    </w:pPr>
    <w:rPr>
      <w:lang w:val="es-ES" w:eastAsia="es-ES"/>
    </w:rPr>
  </w:style>
  <w:style w:type="paragraph" w:styleId="TOC6">
    <w:name w:val="toc 6"/>
    <w:basedOn w:val="Normal"/>
    <w:next w:val="Normal"/>
    <w:autoRedefine/>
    <w:uiPriority w:val="39"/>
    <w:unhideWhenUsed/>
    <w:rsid w:val="00FD3D26"/>
    <w:pPr>
      <w:spacing w:after="100"/>
      <w:ind w:left="1100"/>
    </w:pPr>
    <w:rPr>
      <w:lang w:val="es-ES" w:eastAsia="es-ES"/>
    </w:rPr>
  </w:style>
  <w:style w:type="paragraph" w:styleId="TOC7">
    <w:name w:val="toc 7"/>
    <w:basedOn w:val="Normal"/>
    <w:next w:val="Normal"/>
    <w:autoRedefine/>
    <w:uiPriority w:val="39"/>
    <w:unhideWhenUsed/>
    <w:rsid w:val="00463B31"/>
    <w:pPr>
      <w:numPr>
        <w:ilvl w:val="1"/>
        <w:numId w:val="3"/>
      </w:numPr>
      <w:spacing w:after="100"/>
    </w:pPr>
    <w:rPr>
      <w:lang w:val="es-ES" w:eastAsia="es-ES"/>
    </w:rPr>
  </w:style>
  <w:style w:type="paragraph" w:styleId="TOC8">
    <w:name w:val="toc 8"/>
    <w:basedOn w:val="Normal"/>
    <w:next w:val="Normal"/>
    <w:autoRedefine/>
    <w:uiPriority w:val="39"/>
    <w:unhideWhenUsed/>
    <w:rsid w:val="00FD3D26"/>
    <w:pPr>
      <w:spacing w:after="100"/>
      <w:ind w:left="1540"/>
    </w:pPr>
    <w:rPr>
      <w:lang w:val="es-ES" w:eastAsia="es-ES"/>
    </w:rPr>
  </w:style>
  <w:style w:type="paragraph" w:styleId="TOC9">
    <w:name w:val="toc 9"/>
    <w:basedOn w:val="Normal"/>
    <w:next w:val="Normal"/>
    <w:autoRedefine/>
    <w:uiPriority w:val="39"/>
    <w:unhideWhenUsed/>
    <w:rsid w:val="00FD3D26"/>
    <w:pPr>
      <w:numPr>
        <w:ilvl w:val="2"/>
        <w:numId w:val="3"/>
      </w:numPr>
      <w:spacing w:after="100"/>
    </w:pPr>
    <w:rPr>
      <w:lang w:val="es-ES" w:eastAsia="es-ES"/>
    </w:rPr>
  </w:style>
  <w:style w:type="character" w:styleId="CommentReference">
    <w:name w:val="annotation reference"/>
    <w:basedOn w:val="DefaultParagraphFont"/>
    <w:uiPriority w:val="99"/>
    <w:semiHidden/>
    <w:unhideWhenUsed/>
    <w:rsid w:val="00D609AB"/>
    <w:rPr>
      <w:sz w:val="16"/>
      <w:szCs w:val="16"/>
    </w:rPr>
  </w:style>
  <w:style w:type="paragraph" w:styleId="CommentText">
    <w:name w:val="annotation text"/>
    <w:basedOn w:val="Normal"/>
    <w:link w:val="CommentTextChar"/>
    <w:uiPriority w:val="99"/>
    <w:unhideWhenUsed/>
    <w:rsid w:val="00D609AB"/>
    <w:pPr>
      <w:numPr>
        <w:ilvl w:val="3"/>
        <w:numId w:val="3"/>
      </w:numPr>
      <w:spacing w:after="0" w:line="240" w:lineRule="auto"/>
      <w:jc w:val="both"/>
    </w:pPr>
    <w:rPr>
      <w:rFonts w:eastAsiaTheme="minorHAnsi"/>
      <w:sz w:val="20"/>
      <w:szCs w:val="20"/>
    </w:rPr>
  </w:style>
  <w:style w:type="character" w:customStyle="1" w:styleId="CommentTextChar">
    <w:name w:val="Comment Text Char"/>
    <w:basedOn w:val="DefaultParagraphFont"/>
    <w:link w:val="CommentText"/>
    <w:uiPriority w:val="99"/>
    <w:rsid w:val="00D609AB"/>
    <w:rPr>
      <w:sz w:val="20"/>
      <w:szCs w:val="20"/>
    </w:rPr>
  </w:style>
  <w:style w:type="character" w:styleId="FollowedHyperlink">
    <w:name w:val="FollowedHyperlink"/>
    <w:basedOn w:val="DefaultParagraphFont"/>
    <w:uiPriority w:val="99"/>
    <w:semiHidden/>
    <w:unhideWhenUsed/>
    <w:rsid w:val="001D6011"/>
    <w:rPr>
      <w:color w:val="800080" w:themeColor="followedHyperlink"/>
      <w:u w:val="single"/>
    </w:rPr>
  </w:style>
  <w:style w:type="character" w:customStyle="1" w:styleId="SubSubParChar">
    <w:name w:val="SubSubPar Char"/>
    <w:basedOn w:val="DefaultParagraphFont"/>
    <w:link w:val="SubSubPar"/>
    <w:rsid w:val="00F65CDC"/>
    <w:rPr>
      <w:rFonts w:ascii="Times New Roman" w:eastAsia="MS Mincho" w:hAnsi="Times New Roman" w:cs="Times New Roman"/>
      <w:sz w:val="24"/>
      <w:szCs w:val="16"/>
      <w:lang w:val="es-ES_tradnl" w:eastAsia="zh-CN"/>
    </w:rPr>
  </w:style>
  <w:style w:type="paragraph" w:styleId="CommentSubject">
    <w:name w:val="annotation subject"/>
    <w:basedOn w:val="CommentText"/>
    <w:next w:val="CommentText"/>
    <w:link w:val="CommentSubjectChar"/>
    <w:uiPriority w:val="99"/>
    <w:semiHidden/>
    <w:unhideWhenUsed/>
    <w:rsid w:val="007224D6"/>
    <w:pPr>
      <w:numPr>
        <w:ilvl w:val="0"/>
        <w:numId w:val="0"/>
      </w:numPr>
      <w:spacing w:after="200"/>
      <w:jc w:val="left"/>
    </w:pPr>
    <w:rPr>
      <w:rFonts w:eastAsiaTheme="minorEastAsia"/>
      <w:b/>
      <w:bCs/>
    </w:rPr>
  </w:style>
  <w:style w:type="character" w:customStyle="1" w:styleId="CommentSubjectChar">
    <w:name w:val="Comment Subject Char"/>
    <w:basedOn w:val="CommentTextChar"/>
    <w:link w:val="CommentSubject"/>
    <w:uiPriority w:val="99"/>
    <w:semiHidden/>
    <w:rsid w:val="007224D6"/>
    <w:rPr>
      <w:rFonts w:eastAsiaTheme="minorEastAsia"/>
      <w:b/>
      <w:bCs/>
      <w:sz w:val="20"/>
      <w:szCs w:val="20"/>
    </w:rPr>
  </w:style>
  <w:style w:type="table" w:styleId="LightList">
    <w:name w:val="Light List"/>
    <w:basedOn w:val="TableNormal"/>
    <w:uiPriority w:val="61"/>
    <w:rsid w:val="008E738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semiHidden/>
    <w:unhideWhenUsed/>
    <w:rsid w:val="003151B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styleId="TableGrid">
    <w:name w:val="Table Grid"/>
    <w:basedOn w:val="TableNormal"/>
    <w:uiPriority w:val="59"/>
    <w:rsid w:val="00A13A1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9752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97526"/>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B40"/>
    <w:rPr>
      <w:rFonts w:eastAsiaTheme="minorEastAsia"/>
    </w:rPr>
  </w:style>
  <w:style w:type="paragraph" w:styleId="Heading1">
    <w:name w:val="heading 1"/>
    <w:aliases w:val="Heading 1.I"/>
    <w:next w:val="Normal"/>
    <w:link w:val="Heading1Char"/>
    <w:qFormat/>
    <w:rsid w:val="00737205"/>
    <w:pPr>
      <w:keepNext/>
      <w:numPr>
        <w:numId w:val="6"/>
      </w:numPr>
      <w:spacing w:before="240" w:after="240" w:line="240" w:lineRule="auto"/>
      <w:jc w:val="center"/>
      <w:outlineLvl w:val="0"/>
    </w:pPr>
    <w:rPr>
      <w:rFonts w:ascii="Times New Roman Bold" w:eastAsia="Times New Roman" w:hAnsi="Times New Roman Bold" w:cs="Times New Roman"/>
      <w:b/>
      <w:smallCaps/>
      <w:noProof/>
      <w:sz w:val="28"/>
      <w:szCs w:val="20"/>
      <w:lang w:val="es-ES" w:eastAsia="es-ES"/>
    </w:rPr>
  </w:style>
  <w:style w:type="paragraph" w:styleId="Heading2">
    <w:name w:val="heading 2"/>
    <w:basedOn w:val="Normal"/>
    <w:next w:val="Normal"/>
    <w:link w:val="Heading2Char"/>
    <w:qFormat/>
    <w:rsid w:val="00937D90"/>
    <w:pPr>
      <w:keepNext/>
      <w:tabs>
        <w:tab w:val="num" w:pos="1080"/>
      </w:tabs>
      <w:spacing w:before="240" w:after="60" w:line="240" w:lineRule="auto"/>
      <w:ind w:left="720"/>
      <w:outlineLvl w:val="1"/>
    </w:pPr>
    <w:rPr>
      <w:rFonts w:ascii="Arial" w:eastAsia="Times New Roman" w:hAnsi="Arial" w:cs="Times New Roman"/>
      <w:b/>
      <w:i/>
      <w:sz w:val="24"/>
      <w:szCs w:val="24"/>
    </w:rPr>
  </w:style>
  <w:style w:type="paragraph" w:styleId="Heading3">
    <w:name w:val="heading 3"/>
    <w:basedOn w:val="Normal"/>
    <w:next w:val="Normal"/>
    <w:link w:val="Heading3Char"/>
    <w:qFormat/>
    <w:rsid w:val="00937D90"/>
    <w:pPr>
      <w:keepNext/>
      <w:tabs>
        <w:tab w:val="num" w:pos="1800"/>
      </w:tabs>
      <w:spacing w:before="240" w:after="60" w:line="240" w:lineRule="auto"/>
      <w:ind w:left="1440"/>
      <w:outlineLvl w:val="2"/>
    </w:pPr>
    <w:rPr>
      <w:rFonts w:ascii="Arial" w:eastAsia="Times New Roman" w:hAnsi="Arial" w:cs="Times New Roman"/>
      <w:sz w:val="24"/>
      <w:szCs w:val="24"/>
    </w:rPr>
  </w:style>
  <w:style w:type="paragraph" w:styleId="Heading4">
    <w:name w:val="heading 4"/>
    <w:aliases w:val="Heading 4.a"/>
    <w:next w:val="Normal"/>
    <w:link w:val="Heading4Char"/>
    <w:qFormat/>
    <w:rsid w:val="00737205"/>
    <w:pPr>
      <w:keepNext/>
      <w:numPr>
        <w:ilvl w:val="2"/>
        <w:numId w:val="6"/>
      </w:numPr>
      <w:tabs>
        <w:tab w:val="left" w:pos="1440"/>
      </w:tabs>
      <w:spacing w:before="120" w:after="120" w:line="240" w:lineRule="auto"/>
      <w:jc w:val="both"/>
      <w:outlineLvl w:val="3"/>
    </w:pPr>
    <w:rPr>
      <w:rFonts w:ascii="Times New Roman Bold" w:eastAsia="Times New Roman" w:hAnsi="Times New Roman Bold" w:cs="Times New Roman"/>
      <w:b/>
      <w:noProof/>
      <w:sz w:val="24"/>
      <w:szCs w:val="20"/>
      <w:lang w:val="es-ES" w:eastAsia="es-ES"/>
    </w:rPr>
  </w:style>
  <w:style w:type="paragraph" w:styleId="Heading5">
    <w:name w:val="heading 5"/>
    <w:aliases w:val="Heading 5.(i)"/>
    <w:next w:val="Normal"/>
    <w:link w:val="Heading5Char"/>
    <w:qFormat/>
    <w:rsid w:val="00737205"/>
    <w:pPr>
      <w:keepNext/>
      <w:numPr>
        <w:ilvl w:val="3"/>
        <w:numId w:val="6"/>
      </w:numPr>
      <w:spacing w:before="120" w:after="120" w:line="240" w:lineRule="auto"/>
      <w:jc w:val="both"/>
      <w:outlineLvl w:val="4"/>
    </w:pPr>
    <w:rPr>
      <w:rFonts w:ascii="Times New Roman Bold" w:eastAsia="Times New Roman" w:hAnsi="Times New Roman Bold" w:cs="Times New Roman"/>
      <w:b/>
      <w:noProof/>
      <w:sz w:val="24"/>
      <w:szCs w:val="20"/>
      <w:lang w:val="es-ES" w:eastAsia="es-ES"/>
    </w:rPr>
  </w:style>
  <w:style w:type="paragraph" w:styleId="Heading7">
    <w:name w:val="heading 7"/>
    <w:basedOn w:val="Normal"/>
    <w:next w:val="Normal"/>
    <w:link w:val="Heading7Char"/>
    <w:qFormat/>
    <w:rsid w:val="00737205"/>
    <w:pPr>
      <w:numPr>
        <w:ilvl w:val="6"/>
        <w:numId w:val="1"/>
      </w:numPr>
      <w:spacing w:before="240" w:after="60" w:line="240" w:lineRule="auto"/>
      <w:outlineLvl w:val="6"/>
    </w:pPr>
    <w:rPr>
      <w:rFonts w:ascii="Calibri" w:eastAsia="Times New Roman" w:hAnsi="Calibri" w:cs="Times New Roman"/>
      <w:sz w:val="24"/>
      <w:szCs w:val="24"/>
      <w:lang w:val="x-none" w:eastAsia="x-none"/>
    </w:rPr>
  </w:style>
  <w:style w:type="paragraph" w:styleId="Heading8">
    <w:name w:val="heading 8"/>
    <w:basedOn w:val="Normal"/>
    <w:next w:val="Normal"/>
    <w:link w:val="Heading8Char"/>
    <w:qFormat/>
    <w:rsid w:val="00737205"/>
    <w:pPr>
      <w:numPr>
        <w:ilvl w:val="7"/>
        <w:numId w:val="1"/>
      </w:numPr>
      <w:spacing w:before="240" w:after="60" w:line="240" w:lineRule="auto"/>
      <w:outlineLvl w:val="7"/>
    </w:pPr>
    <w:rPr>
      <w:rFonts w:ascii="Calibri" w:eastAsia="Times New Roman" w:hAnsi="Calibri" w:cs="Times New Roman"/>
      <w:i/>
      <w:iCs/>
      <w:sz w:val="24"/>
      <w:szCs w:val="24"/>
      <w:lang w:val="x-none" w:eastAsia="x-none"/>
    </w:rPr>
  </w:style>
  <w:style w:type="paragraph" w:styleId="Heading9">
    <w:name w:val="heading 9"/>
    <w:basedOn w:val="Normal"/>
    <w:next w:val="Normal"/>
    <w:link w:val="Heading9Char"/>
    <w:qFormat/>
    <w:rsid w:val="00737205"/>
    <w:pPr>
      <w:numPr>
        <w:ilvl w:val="8"/>
        <w:numId w:val="1"/>
      </w:numPr>
      <w:spacing w:before="240" w:after="60" w:line="240" w:lineRule="auto"/>
      <w:outlineLvl w:val="8"/>
    </w:pPr>
    <w:rPr>
      <w:rFonts w:ascii="Cambria" w:eastAsia="Times New Roman" w:hAnsi="Cambria" w:cs="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link w:val="ColorfulList-Accent1Char"/>
    <w:uiPriority w:val="99"/>
    <w:qFormat/>
    <w:rsid w:val="00F14B75"/>
    <w:pPr>
      <w:spacing w:after="0" w:line="240" w:lineRule="auto"/>
      <w:ind w:left="720"/>
      <w:contextualSpacing/>
    </w:pPr>
    <w:rPr>
      <w:rFonts w:ascii="Calibri" w:eastAsia="Calibri" w:hAnsi="Calibri" w:cs="Times New Roman"/>
      <w:lang w:val="x-none" w:eastAsia="x-none"/>
    </w:rPr>
  </w:style>
  <w:style w:type="character" w:customStyle="1" w:styleId="ColorfulList-Accent1Char">
    <w:name w:val="Colorful List - Accent 1 Char"/>
    <w:link w:val="ColorfulList-Accent11"/>
    <w:uiPriority w:val="99"/>
    <w:rsid w:val="00F14B75"/>
    <w:rPr>
      <w:rFonts w:ascii="Calibri" w:eastAsia="Calibri" w:hAnsi="Calibri" w:cs="Times New Roman"/>
      <w:lang w:val="x-none" w:eastAsia="x-none"/>
    </w:rPr>
  </w:style>
  <w:style w:type="character" w:customStyle="1" w:styleId="Heading1Char">
    <w:name w:val="Heading 1 Char"/>
    <w:aliases w:val="Heading 1.I Char"/>
    <w:basedOn w:val="DefaultParagraphFont"/>
    <w:link w:val="Heading1"/>
    <w:rsid w:val="00737205"/>
    <w:rPr>
      <w:rFonts w:ascii="Times New Roman Bold" w:eastAsia="Times New Roman" w:hAnsi="Times New Roman Bold" w:cs="Times New Roman"/>
      <w:b/>
      <w:smallCaps/>
      <w:noProof/>
      <w:sz w:val="28"/>
      <w:szCs w:val="20"/>
      <w:lang w:val="es-ES" w:eastAsia="es-ES"/>
    </w:rPr>
  </w:style>
  <w:style w:type="character" w:customStyle="1" w:styleId="Heading4Char">
    <w:name w:val="Heading 4 Char"/>
    <w:aliases w:val="Heading 4.a Char"/>
    <w:basedOn w:val="DefaultParagraphFont"/>
    <w:link w:val="Heading4"/>
    <w:rsid w:val="00737205"/>
    <w:rPr>
      <w:rFonts w:ascii="Times New Roman Bold" w:eastAsia="Times New Roman" w:hAnsi="Times New Roman Bold" w:cs="Times New Roman"/>
      <w:b/>
      <w:noProof/>
      <w:sz w:val="24"/>
      <w:szCs w:val="20"/>
      <w:lang w:val="es-ES" w:eastAsia="es-ES"/>
    </w:rPr>
  </w:style>
  <w:style w:type="character" w:customStyle="1" w:styleId="Heading5Char">
    <w:name w:val="Heading 5 Char"/>
    <w:aliases w:val="Heading 5.(i) Char"/>
    <w:basedOn w:val="DefaultParagraphFont"/>
    <w:link w:val="Heading5"/>
    <w:rsid w:val="00737205"/>
    <w:rPr>
      <w:rFonts w:ascii="Times New Roman Bold" w:eastAsia="Times New Roman" w:hAnsi="Times New Roman Bold" w:cs="Times New Roman"/>
      <w:b/>
      <w:noProof/>
      <w:sz w:val="24"/>
      <w:szCs w:val="20"/>
      <w:lang w:val="es-ES" w:eastAsia="es-ES"/>
    </w:rPr>
  </w:style>
  <w:style w:type="character" w:customStyle="1" w:styleId="Heading7Char">
    <w:name w:val="Heading 7 Char"/>
    <w:basedOn w:val="DefaultParagraphFont"/>
    <w:link w:val="Heading7"/>
    <w:rsid w:val="00737205"/>
    <w:rPr>
      <w:rFonts w:ascii="Calibri" w:eastAsia="Times New Roman" w:hAnsi="Calibri" w:cs="Times New Roman"/>
      <w:sz w:val="24"/>
      <w:szCs w:val="24"/>
      <w:lang w:val="x-none" w:eastAsia="x-none"/>
    </w:rPr>
  </w:style>
  <w:style w:type="character" w:customStyle="1" w:styleId="Heading8Char">
    <w:name w:val="Heading 8 Char"/>
    <w:basedOn w:val="DefaultParagraphFont"/>
    <w:link w:val="Heading8"/>
    <w:rsid w:val="00737205"/>
    <w:rPr>
      <w:rFonts w:ascii="Calibri" w:eastAsia="Times New Roman" w:hAnsi="Calibri" w:cs="Times New Roman"/>
      <w:i/>
      <w:iCs/>
      <w:sz w:val="24"/>
      <w:szCs w:val="24"/>
      <w:lang w:val="x-none" w:eastAsia="x-none"/>
    </w:rPr>
  </w:style>
  <w:style w:type="character" w:customStyle="1" w:styleId="Heading9Char">
    <w:name w:val="Heading 9 Char"/>
    <w:basedOn w:val="DefaultParagraphFont"/>
    <w:link w:val="Heading9"/>
    <w:rsid w:val="00737205"/>
    <w:rPr>
      <w:rFonts w:ascii="Cambria" w:eastAsia="Times New Roman" w:hAnsi="Cambria" w:cs="Times New Roman"/>
      <w:lang w:val="x-none" w:eastAsia="x-none"/>
    </w:rPr>
  </w:style>
  <w:style w:type="paragraph" w:styleId="Footer">
    <w:name w:val="footer"/>
    <w:basedOn w:val="Normal"/>
    <w:link w:val="FooterChar"/>
    <w:uiPriority w:val="99"/>
    <w:rsid w:val="00737205"/>
    <w:pPr>
      <w:tabs>
        <w:tab w:val="center" w:pos="4320"/>
        <w:tab w:val="right" w:pos="8640"/>
      </w:tabs>
      <w:spacing w:after="0" w:line="240" w:lineRule="auto"/>
    </w:pPr>
    <w:rPr>
      <w:rFonts w:ascii="Times New Roman" w:eastAsia="Times New Roman" w:hAnsi="Times New Roman" w:cs="Times New Roman"/>
      <w:spacing w:val="-3"/>
      <w:sz w:val="20"/>
      <w:szCs w:val="20"/>
      <w:lang w:val="es-ES_tradnl"/>
    </w:rPr>
  </w:style>
  <w:style w:type="character" w:customStyle="1" w:styleId="FooterChar">
    <w:name w:val="Footer Char"/>
    <w:basedOn w:val="DefaultParagraphFont"/>
    <w:link w:val="Footer"/>
    <w:uiPriority w:val="99"/>
    <w:rsid w:val="00737205"/>
    <w:rPr>
      <w:rFonts w:ascii="Times New Roman" w:eastAsia="Times New Roman" w:hAnsi="Times New Roman" w:cs="Times New Roman"/>
      <w:spacing w:val="-3"/>
      <w:sz w:val="20"/>
      <w:szCs w:val="20"/>
      <w:lang w:val="es-ES_tradnl"/>
    </w:rPr>
  </w:style>
  <w:style w:type="paragraph" w:customStyle="1" w:styleId="Chapter">
    <w:name w:val="Chapter"/>
    <w:basedOn w:val="Normal"/>
    <w:next w:val="Normal"/>
    <w:link w:val="ChapterChar"/>
    <w:rsid w:val="00737205"/>
    <w:pPr>
      <w:keepNext/>
      <w:numPr>
        <w:numId w:val="1"/>
      </w:numPr>
      <w:tabs>
        <w:tab w:val="left" w:pos="1440"/>
      </w:tabs>
      <w:spacing w:before="240" w:after="240" w:line="240" w:lineRule="auto"/>
      <w:jc w:val="center"/>
    </w:pPr>
    <w:rPr>
      <w:rFonts w:ascii="Times New Roman" w:eastAsia="Calibri" w:hAnsi="Times New Roman" w:cs="Times New Roman"/>
      <w:b/>
      <w:smallCaps/>
      <w:sz w:val="24"/>
      <w:lang w:val="x-none" w:eastAsia="x-none"/>
    </w:rPr>
  </w:style>
  <w:style w:type="character" w:customStyle="1" w:styleId="ChapterChar">
    <w:name w:val="Chapter Char"/>
    <w:link w:val="Chapter"/>
    <w:rsid w:val="00737205"/>
    <w:rPr>
      <w:rFonts w:ascii="Times New Roman" w:eastAsia="Calibri" w:hAnsi="Times New Roman" w:cs="Times New Roman"/>
      <w:b/>
      <w:smallCaps/>
      <w:sz w:val="24"/>
      <w:lang w:val="x-none" w:eastAsia="x-none"/>
    </w:rPr>
  </w:style>
  <w:style w:type="paragraph" w:customStyle="1" w:styleId="Paragraph">
    <w:name w:val="Paragraph"/>
    <w:aliases w:val="paragraph,p,PARAGRAPH,PG,pa,at"/>
    <w:basedOn w:val="BodyTextIndent"/>
    <w:link w:val="ParagraphChar"/>
    <w:qFormat/>
    <w:rsid w:val="00737205"/>
    <w:pPr>
      <w:tabs>
        <w:tab w:val="num" w:pos="720"/>
      </w:tabs>
      <w:spacing w:before="120" w:line="240" w:lineRule="auto"/>
      <w:ind w:hanging="720"/>
      <w:jc w:val="both"/>
      <w:outlineLvl w:val="1"/>
    </w:pPr>
    <w:rPr>
      <w:rFonts w:ascii="Times New Roman" w:eastAsia="Calibri" w:hAnsi="Times New Roman" w:cs="Times New Roman"/>
      <w:sz w:val="24"/>
      <w:lang w:val="x-none" w:eastAsia="x-none"/>
    </w:rPr>
  </w:style>
  <w:style w:type="character" w:customStyle="1" w:styleId="ParagraphChar">
    <w:name w:val="Paragraph Char"/>
    <w:link w:val="Paragraph"/>
    <w:rsid w:val="00737205"/>
    <w:rPr>
      <w:rFonts w:ascii="Times New Roman" w:eastAsia="Calibri" w:hAnsi="Times New Roman" w:cs="Times New Roman"/>
      <w:sz w:val="24"/>
      <w:lang w:val="x-none" w:eastAsia="x-none"/>
    </w:rPr>
  </w:style>
  <w:style w:type="paragraph" w:customStyle="1" w:styleId="AutoNumpara">
    <w:name w:val="AutoNumpara"/>
    <w:basedOn w:val="BodyTextIndent"/>
    <w:uiPriority w:val="99"/>
    <w:rsid w:val="00737205"/>
    <w:pPr>
      <w:numPr>
        <w:ilvl w:val="1"/>
        <w:numId w:val="6"/>
      </w:numPr>
      <w:spacing w:before="120" w:line="240" w:lineRule="auto"/>
      <w:jc w:val="both"/>
    </w:pPr>
    <w:rPr>
      <w:rFonts w:ascii="Times New Roman" w:eastAsia="Times New Roman" w:hAnsi="Times New Roman" w:cs="Times New Roman"/>
      <w:noProof/>
      <w:spacing w:val="-2"/>
      <w:sz w:val="24"/>
      <w:szCs w:val="20"/>
      <w:lang w:val="es-ES_tradnl" w:eastAsia="x-none"/>
    </w:rPr>
  </w:style>
  <w:style w:type="paragraph" w:styleId="BodyText2">
    <w:name w:val="Body Text 2"/>
    <w:basedOn w:val="Normal"/>
    <w:link w:val="BodyText2Char"/>
    <w:rsid w:val="00737205"/>
    <w:pPr>
      <w:spacing w:after="120" w:line="480" w:lineRule="auto"/>
    </w:pPr>
    <w:rPr>
      <w:rFonts w:ascii="Times New Roman" w:eastAsia="Times New Roman" w:hAnsi="Times New Roman" w:cs="Times New Roman"/>
      <w:spacing w:val="-3"/>
      <w:sz w:val="24"/>
      <w:szCs w:val="20"/>
      <w:lang w:val="es-ES_tradnl"/>
    </w:rPr>
  </w:style>
  <w:style w:type="character" w:customStyle="1" w:styleId="BodyText2Char">
    <w:name w:val="Body Text 2 Char"/>
    <w:basedOn w:val="DefaultParagraphFont"/>
    <w:link w:val="BodyText2"/>
    <w:rsid w:val="00737205"/>
    <w:rPr>
      <w:rFonts w:ascii="Times New Roman" w:eastAsia="Times New Roman" w:hAnsi="Times New Roman" w:cs="Times New Roman"/>
      <w:spacing w:val="-3"/>
      <w:sz w:val="24"/>
      <w:szCs w:val="20"/>
      <w:lang w:val="es-ES_tradnl"/>
    </w:rPr>
  </w:style>
  <w:style w:type="paragraph" w:styleId="BodyTextIndent">
    <w:name w:val="Body Text Indent"/>
    <w:basedOn w:val="Normal"/>
    <w:link w:val="BodyTextIndentChar"/>
    <w:uiPriority w:val="99"/>
    <w:semiHidden/>
    <w:unhideWhenUsed/>
    <w:rsid w:val="00737205"/>
    <w:pPr>
      <w:spacing w:after="120"/>
      <w:ind w:left="360"/>
    </w:pPr>
  </w:style>
  <w:style w:type="character" w:customStyle="1" w:styleId="BodyTextIndentChar">
    <w:name w:val="Body Text Indent Char"/>
    <w:basedOn w:val="DefaultParagraphFont"/>
    <w:link w:val="BodyTextIndent"/>
    <w:uiPriority w:val="99"/>
    <w:semiHidden/>
    <w:rsid w:val="00737205"/>
    <w:rPr>
      <w:rFonts w:eastAsiaTheme="minorEastAsia"/>
    </w:rPr>
  </w:style>
  <w:style w:type="paragraph" w:styleId="TOC1">
    <w:name w:val="toc 1"/>
    <w:basedOn w:val="Normal"/>
    <w:next w:val="Normal"/>
    <w:uiPriority w:val="39"/>
    <w:rsid w:val="00807988"/>
    <w:pPr>
      <w:spacing w:before="120" w:after="0"/>
    </w:pPr>
    <w:rPr>
      <w:rFonts w:ascii="Times New Roman" w:eastAsia="ヒラギノ角ゴ Pro W3" w:hAnsi="Times New Roman" w:cs="Times New Roman"/>
      <w:b/>
      <w:i/>
      <w:color w:val="000000"/>
      <w:sz w:val="24"/>
      <w:szCs w:val="24"/>
    </w:rPr>
  </w:style>
  <w:style w:type="paragraph" w:styleId="TOC2">
    <w:name w:val="toc 2"/>
    <w:basedOn w:val="Normal"/>
    <w:next w:val="Normal"/>
    <w:uiPriority w:val="39"/>
    <w:rsid w:val="00807988"/>
    <w:pPr>
      <w:spacing w:before="120" w:after="0"/>
      <w:ind w:left="220"/>
    </w:pPr>
    <w:rPr>
      <w:rFonts w:ascii="Times New Roman" w:eastAsia="ヒラギノ角ゴ Pro W3" w:hAnsi="Times New Roman" w:cs="Times New Roman"/>
      <w:b/>
      <w:color w:val="000000"/>
    </w:rPr>
  </w:style>
  <w:style w:type="paragraph" w:styleId="ListParagraph">
    <w:name w:val="List Paragraph"/>
    <w:basedOn w:val="Normal"/>
    <w:uiPriority w:val="34"/>
    <w:qFormat/>
    <w:rsid w:val="006D699A"/>
    <w:pPr>
      <w:ind w:left="720"/>
      <w:contextualSpacing/>
    </w:pPr>
  </w:style>
  <w:style w:type="paragraph" w:styleId="TOCHeading">
    <w:name w:val="TOC Heading"/>
    <w:basedOn w:val="Heading1"/>
    <w:next w:val="Normal"/>
    <w:uiPriority w:val="39"/>
    <w:semiHidden/>
    <w:unhideWhenUsed/>
    <w:qFormat/>
    <w:rsid w:val="00CF0297"/>
    <w:pPr>
      <w:keepLines/>
      <w:numPr>
        <w:numId w:val="0"/>
      </w:numPr>
      <w:spacing w:before="480" w:after="0" w:line="276" w:lineRule="auto"/>
      <w:jc w:val="left"/>
      <w:outlineLvl w:val="9"/>
    </w:pPr>
    <w:rPr>
      <w:rFonts w:asciiTheme="majorHAnsi" w:eastAsiaTheme="majorEastAsia" w:hAnsiTheme="majorHAnsi" w:cstheme="majorBidi"/>
      <w:bCs/>
      <w:smallCaps w:val="0"/>
      <w:noProof w:val="0"/>
      <w:color w:val="365F91" w:themeColor="accent1" w:themeShade="BF"/>
      <w:szCs w:val="28"/>
      <w:lang w:val="en-US" w:eastAsia="ja-JP"/>
    </w:rPr>
  </w:style>
  <w:style w:type="character" w:styleId="Hyperlink">
    <w:name w:val="Hyperlink"/>
    <w:basedOn w:val="DefaultParagraphFont"/>
    <w:uiPriority w:val="99"/>
    <w:unhideWhenUsed/>
    <w:rsid w:val="00CF0297"/>
    <w:rPr>
      <w:color w:val="0000FF" w:themeColor="hyperlink"/>
      <w:u w:val="single"/>
    </w:rPr>
  </w:style>
  <w:style w:type="paragraph" w:styleId="BalloonText">
    <w:name w:val="Balloon Text"/>
    <w:basedOn w:val="Normal"/>
    <w:link w:val="BalloonTextChar"/>
    <w:uiPriority w:val="99"/>
    <w:semiHidden/>
    <w:unhideWhenUsed/>
    <w:rsid w:val="00CF0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297"/>
    <w:rPr>
      <w:rFonts w:ascii="Tahoma" w:eastAsiaTheme="minorEastAsia" w:hAnsi="Tahoma" w:cs="Tahoma"/>
      <w:sz w:val="16"/>
      <w:szCs w:val="16"/>
    </w:rPr>
  </w:style>
  <w:style w:type="paragraph" w:styleId="FootnoteText">
    <w:name w:val="footnote text"/>
    <w:aliases w:val="fn,Texto nota pie IIRSA,ft,foottextfra,footnote,F,Footnote Text Char Char Char Char Char Char,Footnote Text Char Char Char Char1,Footnote Text Char Char Char Char Char1,Footnote Text Char Char Char Char Char,Footnote Text Char Char Char,f"/>
    <w:basedOn w:val="Normal"/>
    <w:link w:val="FootnoteTextChar"/>
    <w:uiPriority w:val="99"/>
    <w:qFormat/>
    <w:rsid w:val="00F6686A"/>
    <w:pPr>
      <w:keepNext/>
      <w:keepLines/>
      <w:spacing w:after="120" w:line="240" w:lineRule="auto"/>
      <w:ind w:left="288" w:hanging="288"/>
      <w:jc w:val="both"/>
    </w:pPr>
    <w:rPr>
      <w:rFonts w:ascii="Times New Roman" w:eastAsia="MS Mincho" w:hAnsi="Times New Roman" w:cs="Times New Roman"/>
      <w:spacing w:val="-3"/>
      <w:sz w:val="20"/>
      <w:szCs w:val="20"/>
      <w:lang w:val="es-ES_tradnl" w:eastAsia="zh-CN"/>
    </w:rPr>
  </w:style>
  <w:style w:type="character" w:customStyle="1" w:styleId="FootnoteTextChar">
    <w:name w:val="Footnote Text Char"/>
    <w:aliases w:val="fn Char,Texto nota pie IIRSA Char,ft Char,foottextfra Char,footnote Char,F Char,Footnote Text Char Char Char Char Char Char Char,Footnote Text Char Char Char Char1 Char,Footnote Text Char Char Char Char Char1 Char,f Char"/>
    <w:basedOn w:val="DefaultParagraphFont"/>
    <w:link w:val="FootnoteText"/>
    <w:uiPriority w:val="99"/>
    <w:rsid w:val="00F6686A"/>
    <w:rPr>
      <w:rFonts w:ascii="Times New Roman" w:eastAsia="MS Mincho" w:hAnsi="Times New Roman" w:cs="Times New Roman"/>
      <w:spacing w:val="-3"/>
      <w:sz w:val="20"/>
      <w:szCs w:val="20"/>
      <w:lang w:val="es-ES_tradnl" w:eastAsia="zh-CN"/>
    </w:rPr>
  </w:style>
  <w:style w:type="paragraph" w:customStyle="1" w:styleId="ABBR">
    <w:name w:val="ABBR"/>
    <w:basedOn w:val="Normal"/>
    <w:rsid w:val="00F6686A"/>
    <w:pPr>
      <w:spacing w:after="0" w:line="240" w:lineRule="auto"/>
    </w:pPr>
    <w:rPr>
      <w:rFonts w:ascii="Times New Roman" w:eastAsia="MS Mincho" w:hAnsi="Times New Roman" w:cs="Times New Roman"/>
      <w:caps/>
      <w:sz w:val="24"/>
      <w:szCs w:val="24"/>
    </w:rPr>
  </w:style>
  <w:style w:type="paragraph" w:customStyle="1" w:styleId="AbbrDesc">
    <w:name w:val="AbbrDesc"/>
    <w:basedOn w:val="Normal"/>
    <w:rsid w:val="00F6686A"/>
    <w:pPr>
      <w:tabs>
        <w:tab w:val="left" w:pos="3060"/>
      </w:tabs>
      <w:spacing w:after="0" w:line="240" w:lineRule="auto"/>
      <w:jc w:val="both"/>
    </w:pPr>
    <w:rPr>
      <w:rFonts w:ascii="Times New Roman" w:eastAsia="MS Mincho" w:hAnsi="Times New Roman" w:cs="Times New Roman"/>
      <w:sz w:val="24"/>
      <w:szCs w:val="24"/>
    </w:rPr>
  </w:style>
  <w:style w:type="character" w:styleId="FootnoteReference">
    <w:name w:val="footnote reference"/>
    <w:aliases w:val="ftref,titulo 2,FC,referencia nota al pie,Fußnotenzeichen DISS,Footnote Reference Number,Footnote Reference_LVL6,Footnote Reference_LVL61,Footnote Reference_LVL62,Footnote Reference_LVL63,Footnote Reference_LVL64,16 Point"/>
    <w:basedOn w:val="DefaultParagraphFont"/>
    <w:uiPriority w:val="99"/>
    <w:rsid w:val="000B27AA"/>
    <w:rPr>
      <w:rFonts w:ascii="Times New Roman" w:hAnsi="Times New Roman" w:cs="Times New Roman"/>
      <w:sz w:val="20"/>
      <w:vertAlign w:val="superscript"/>
    </w:rPr>
  </w:style>
  <w:style w:type="paragraph" w:customStyle="1" w:styleId="subpar">
    <w:name w:val="subpar"/>
    <w:basedOn w:val="BodyTextIndent3"/>
    <w:link w:val="subparChar"/>
    <w:rsid w:val="000B27AA"/>
    <w:pPr>
      <w:tabs>
        <w:tab w:val="num" w:pos="1674"/>
      </w:tabs>
      <w:spacing w:before="120" w:line="240" w:lineRule="auto"/>
      <w:ind w:left="1674" w:hanging="432"/>
      <w:jc w:val="both"/>
      <w:outlineLvl w:val="2"/>
    </w:pPr>
    <w:rPr>
      <w:rFonts w:ascii="Times New Roman" w:eastAsia="MS Mincho" w:hAnsi="Times New Roman" w:cs="Times New Roman"/>
      <w:sz w:val="24"/>
      <w:lang w:val="es-ES_tradnl" w:eastAsia="zh-CN"/>
    </w:rPr>
  </w:style>
  <w:style w:type="character" w:customStyle="1" w:styleId="subparChar">
    <w:name w:val="subpar Char"/>
    <w:link w:val="subpar"/>
    <w:locked/>
    <w:rsid w:val="000B27AA"/>
    <w:rPr>
      <w:rFonts w:ascii="Times New Roman" w:eastAsia="MS Mincho" w:hAnsi="Times New Roman" w:cs="Times New Roman"/>
      <w:sz w:val="24"/>
      <w:szCs w:val="16"/>
      <w:lang w:val="es-ES_tradnl" w:eastAsia="zh-CN"/>
    </w:rPr>
  </w:style>
  <w:style w:type="paragraph" w:customStyle="1" w:styleId="SubSubPar">
    <w:name w:val="SubSubPar"/>
    <w:basedOn w:val="subpar"/>
    <w:link w:val="SubSubParChar"/>
    <w:rsid w:val="000B27AA"/>
    <w:pPr>
      <w:tabs>
        <w:tab w:val="left" w:pos="0"/>
        <w:tab w:val="num" w:pos="1296"/>
      </w:tabs>
      <w:ind w:left="1296" w:hanging="360"/>
    </w:pPr>
  </w:style>
  <w:style w:type="paragraph" w:styleId="BodyTextIndent3">
    <w:name w:val="Body Text Indent 3"/>
    <w:basedOn w:val="Normal"/>
    <w:link w:val="BodyTextIndent3Char"/>
    <w:uiPriority w:val="99"/>
    <w:unhideWhenUsed/>
    <w:rsid w:val="000B27AA"/>
    <w:pPr>
      <w:spacing w:after="120"/>
      <w:ind w:left="360"/>
    </w:pPr>
    <w:rPr>
      <w:sz w:val="16"/>
      <w:szCs w:val="16"/>
    </w:rPr>
  </w:style>
  <w:style w:type="character" w:customStyle="1" w:styleId="BodyTextIndent3Char">
    <w:name w:val="Body Text Indent 3 Char"/>
    <w:basedOn w:val="DefaultParagraphFont"/>
    <w:link w:val="BodyTextIndent3"/>
    <w:uiPriority w:val="99"/>
    <w:rsid w:val="000B27AA"/>
    <w:rPr>
      <w:rFonts w:eastAsiaTheme="minorEastAsia"/>
      <w:sz w:val="16"/>
      <w:szCs w:val="16"/>
    </w:rPr>
  </w:style>
  <w:style w:type="character" w:customStyle="1" w:styleId="Heading2Char">
    <w:name w:val="Heading 2 Char"/>
    <w:basedOn w:val="DefaultParagraphFont"/>
    <w:link w:val="Heading2"/>
    <w:rsid w:val="00937D90"/>
    <w:rPr>
      <w:rFonts w:ascii="Arial" w:eastAsia="Times New Roman" w:hAnsi="Arial" w:cs="Times New Roman"/>
      <w:b/>
      <w:i/>
      <w:sz w:val="24"/>
      <w:szCs w:val="24"/>
    </w:rPr>
  </w:style>
  <w:style w:type="character" w:customStyle="1" w:styleId="Heading3Char">
    <w:name w:val="Heading 3 Char"/>
    <w:basedOn w:val="DefaultParagraphFont"/>
    <w:link w:val="Heading3"/>
    <w:rsid w:val="00937D90"/>
    <w:rPr>
      <w:rFonts w:ascii="Arial" w:eastAsia="Times New Roman" w:hAnsi="Arial" w:cs="Times New Roman"/>
      <w:sz w:val="24"/>
      <w:szCs w:val="24"/>
    </w:rPr>
  </w:style>
  <w:style w:type="paragraph" w:styleId="BodyText">
    <w:name w:val="Body Text"/>
    <w:basedOn w:val="Normal"/>
    <w:link w:val="BodyTextChar"/>
    <w:uiPriority w:val="99"/>
    <w:semiHidden/>
    <w:unhideWhenUsed/>
    <w:rsid w:val="00937D90"/>
    <w:pPr>
      <w:spacing w:after="120"/>
    </w:pPr>
  </w:style>
  <w:style w:type="character" w:customStyle="1" w:styleId="BodyTextChar">
    <w:name w:val="Body Text Char"/>
    <w:basedOn w:val="DefaultParagraphFont"/>
    <w:link w:val="BodyText"/>
    <w:uiPriority w:val="99"/>
    <w:semiHidden/>
    <w:rsid w:val="00937D90"/>
    <w:rPr>
      <w:rFonts w:eastAsiaTheme="minorEastAsia"/>
    </w:rPr>
  </w:style>
  <w:style w:type="paragraph" w:styleId="Caption">
    <w:name w:val="caption"/>
    <w:basedOn w:val="Normal"/>
    <w:next w:val="Normal"/>
    <w:uiPriority w:val="99"/>
    <w:qFormat/>
    <w:rsid w:val="00937D90"/>
    <w:pPr>
      <w:widowControl w:val="0"/>
      <w:spacing w:after="0" w:line="240" w:lineRule="auto"/>
    </w:pPr>
    <w:rPr>
      <w:rFonts w:ascii="Times New Roman" w:eastAsia="MS Mincho" w:hAnsi="Times New Roman" w:cs="Times New Roman"/>
      <w:spacing w:val="-3"/>
      <w:sz w:val="24"/>
      <w:szCs w:val="20"/>
      <w:lang w:val="es-ES_tradnl"/>
    </w:rPr>
  </w:style>
  <w:style w:type="paragraph" w:customStyle="1" w:styleId="Default">
    <w:name w:val="Default"/>
    <w:uiPriority w:val="99"/>
    <w:rsid w:val="00937D90"/>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styleId="TOC3">
    <w:name w:val="toc 3"/>
    <w:basedOn w:val="Normal"/>
    <w:next w:val="Normal"/>
    <w:autoRedefine/>
    <w:uiPriority w:val="39"/>
    <w:unhideWhenUsed/>
    <w:rsid w:val="00FD3D26"/>
    <w:pPr>
      <w:spacing w:after="100"/>
      <w:ind w:left="440"/>
    </w:pPr>
  </w:style>
  <w:style w:type="paragraph" w:styleId="TOC4">
    <w:name w:val="toc 4"/>
    <w:basedOn w:val="Normal"/>
    <w:next w:val="Normal"/>
    <w:autoRedefine/>
    <w:uiPriority w:val="39"/>
    <w:unhideWhenUsed/>
    <w:rsid w:val="00FD3D26"/>
    <w:pPr>
      <w:spacing w:after="100"/>
      <w:ind w:left="660"/>
    </w:pPr>
    <w:rPr>
      <w:lang w:val="es-ES" w:eastAsia="es-ES"/>
    </w:rPr>
  </w:style>
  <w:style w:type="paragraph" w:styleId="TOC5">
    <w:name w:val="toc 5"/>
    <w:basedOn w:val="Normal"/>
    <w:next w:val="Normal"/>
    <w:autoRedefine/>
    <w:uiPriority w:val="39"/>
    <w:unhideWhenUsed/>
    <w:rsid w:val="00FD3D26"/>
    <w:pPr>
      <w:spacing w:after="100"/>
      <w:ind w:left="880"/>
    </w:pPr>
    <w:rPr>
      <w:lang w:val="es-ES" w:eastAsia="es-ES"/>
    </w:rPr>
  </w:style>
  <w:style w:type="paragraph" w:styleId="TOC6">
    <w:name w:val="toc 6"/>
    <w:basedOn w:val="Normal"/>
    <w:next w:val="Normal"/>
    <w:autoRedefine/>
    <w:uiPriority w:val="39"/>
    <w:unhideWhenUsed/>
    <w:rsid w:val="00FD3D26"/>
    <w:pPr>
      <w:spacing w:after="100"/>
      <w:ind w:left="1100"/>
    </w:pPr>
    <w:rPr>
      <w:lang w:val="es-ES" w:eastAsia="es-ES"/>
    </w:rPr>
  </w:style>
  <w:style w:type="paragraph" w:styleId="TOC7">
    <w:name w:val="toc 7"/>
    <w:basedOn w:val="Normal"/>
    <w:next w:val="Normal"/>
    <w:autoRedefine/>
    <w:uiPriority w:val="39"/>
    <w:unhideWhenUsed/>
    <w:rsid w:val="00463B31"/>
    <w:pPr>
      <w:numPr>
        <w:ilvl w:val="1"/>
        <w:numId w:val="3"/>
      </w:numPr>
      <w:spacing w:after="100"/>
    </w:pPr>
    <w:rPr>
      <w:lang w:val="es-ES" w:eastAsia="es-ES"/>
    </w:rPr>
  </w:style>
  <w:style w:type="paragraph" w:styleId="TOC8">
    <w:name w:val="toc 8"/>
    <w:basedOn w:val="Normal"/>
    <w:next w:val="Normal"/>
    <w:autoRedefine/>
    <w:uiPriority w:val="39"/>
    <w:unhideWhenUsed/>
    <w:rsid w:val="00FD3D26"/>
    <w:pPr>
      <w:spacing w:after="100"/>
      <w:ind w:left="1540"/>
    </w:pPr>
    <w:rPr>
      <w:lang w:val="es-ES" w:eastAsia="es-ES"/>
    </w:rPr>
  </w:style>
  <w:style w:type="paragraph" w:styleId="TOC9">
    <w:name w:val="toc 9"/>
    <w:basedOn w:val="Normal"/>
    <w:next w:val="Normal"/>
    <w:autoRedefine/>
    <w:uiPriority w:val="39"/>
    <w:unhideWhenUsed/>
    <w:rsid w:val="00FD3D26"/>
    <w:pPr>
      <w:numPr>
        <w:ilvl w:val="2"/>
        <w:numId w:val="3"/>
      </w:numPr>
      <w:spacing w:after="100"/>
    </w:pPr>
    <w:rPr>
      <w:lang w:val="es-ES" w:eastAsia="es-ES"/>
    </w:rPr>
  </w:style>
  <w:style w:type="character" w:styleId="CommentReference">
    <w:name w:val="annotation reference"/>
    <w:basedOn w:val="DefaultParagraphFont"/>
    <w:uiPriority w:val="99"/>
    <w:semiHidden/>
    <w:unhideWhenUsed/>
    <w:rsid w:val="00D609AB"/>
    <w:rPr>
      <w:sz w:val="16"/>
      <w:szCs w:val="16"/>
    </w:rPr>
  </w:style>
  <w:style w:type="paragraph" w:styleId="CommentText">
    <w:name w:val="annotation text"/>
    <w:basedOn w:val="Normal"/>
    <w:link w:val="CommentTextChar"/>
    <w:uiPriority w:val="99"/>
    <w:unhideWhenUsed/>
    <w:rsid w:val="00D609AB"/>
    <w:pPr>
      <w:numPr>
        <w:ilvl w:val="3"/>
        <w:numId w:val="3"/>
      </w:numPr>
      <w:spacing w:after="0" w:line="240" w:lineRule="auto"/>
      <w:jc w:val="both"/>
    </w:pPr>
    <w:rPr>
      <w:rFonts w:eastAsiaTheme="minorHAnsi"/>
      <w:sz w:val="20"/>
      <w:szCs w:val="20"/>
    </w:rPr>
  </w:style>
  <w:style w:type="character" w:customStyle="1" w:styleId="CommentTextChar">
    <w:name w:val="Comment Text Char"/>
    <w:basedOn w:val="DefaultParagraphFont"/>
    <w:link w:val="CommentText"/>
    <w:uiPriority w:val="99"/>
    <w:rsid w:val="00D609AB"/>
    <w:rPr>
      <w:sz w:val="20"/>
      <w:szCs w:val="20"/>
    </w:rPr>
  </w:style>
  <w:style w:type="character" w:styleId="FollowedHyperlink">
    <w:name w:val="FollowedHyperlink"/>
    <w:basedOn w:val="DefaultParagraphFont"/>
    <w:uiPriority w:val="99"/>
    <w:semiHidden/>
    <w:unhideWhenUsed/>
    <w:rsid w:val="001D6011"/>
    <w:rPr>
      <w:color w:val="800080" w:themeColor="followedHyperlink"/>
      <w:u w:val="single"/>
    </w:rPr>
  </w:style>
  <w:style w:type="character" w:customStyle="1" w:styleId="SubSubParChar">
    <w:name w:val="SubSubPar Char"/>
    <w:basedOn w:val="DefaultParagraphFont"/>
    <w:link w:val="SubSubPar"/>
    <w:rsid w:val="00F65CDC"/>
    <w:rPr>
      <w:rFonts w:ascii="Times New Roman" w:eastAsia="MS Mincho" w:hAnsi="Times New Roman" w:cs="Times New Roman"/>
      <w:sz w:val="24"/>
      <w:szCs w:val="16"/>
      <w:lang w:val="es-ES_tradnl" w:eastAsia="zh-CN"/>
    </w:rPr>
  </w:style>
  <w:style w:type="paragraph" w:styleId="CommentSubject">
    <w:name w:val="annotation subject"/>
    <w:basedOn w:val="CommentText"/>
    <w:next w:val="CommentText"/>
    <w:link w:val="CommentSubjectChar"/>
    <w:uiPriority w:val="99"/>
    <w:semiHidden/>
    <w:unhideWhenUsed/>
    <w:rsid w:val="007224D6"/>
    <w:pPr>
      <w:numPr>
        <w:ilvl w:val="0"/>
        <w:numId w:val="0"/>
      </w:numPr>
      <w:spacing w:after="200"/>
      <w:jc w:val="left"/>
    </w:pPr>
    <w:rPr>
      <w:rFonts w:eastAsiaTheme="minorEastAsia"/>
      <w:b/>
      <w:bCs/>
    </w:rPr>
  </w:style>
  <w:style w:type="character" w:customStyle="1" w:styleId="CommentSubjectChar">
    <w:name w:val="Comment Subject Char"/>
    <w:basedOn w:val="CommentTextChar"/>
    <w:link w:val="CommentSubject"/>
    <w:uiPriority w:val="99"/>
    <w:semiHidden/>
    <w:rsid w:val="007224D6"/>
    <w:rPr>
      <w:rFonts w:eastAsiaTheme="minorEastAsia"/>
      <w:b/>
      <w:bCs/>
      <w:sz w:val="20"/>
      <w:szCs w:val="20"/>
    </w:rPr>
  </w:style>
  <w:style w:type="table" w:styleId="LightList">
    <w:name w:val="Light List"/>
    <w:basedOn w:val="TableNormal"/>
    <w:uiPriority w:val="61"/>
    <w:rsid w:val="008E738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semiHidden/>
    <w:unhideWhenUsed/>
    <w:rsid w:val="003151B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styleId="TableGrid">
    <w:name w:val="Table Grid"/>
    <w:basedOn w:val="TableNormal"/>
    <w:uiPriority w:val="59"/>
    <w:rsid w:val="00A13A1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9752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97526"/>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51711">
      <w:bodyDiv w:val="1"/>
      <w:marLeft w:val="0"/>
      <w:marRight w:val="0"/>
      <w:marTop w:val="0"/>
      <w:marBottom w:val="0"/>
      <w:divBdr>
        <w:top w:val="none" w:sz="0" w:space="0" w:color="auto"/>
        <w:left w:val="none" w:sz="0" w:space="0" w:color="auto"/>
        <w:bottom w:val="none" w:sz="0" w:space="0" w:color="auto"/>
        <w:right w:val="none" w:sz="0" w:space="0" w:color="auto"/>
      </w:divBdr>
    </w:div>
    <w:div w:id="100031162">
      <w:bodyDiv w:val="1"/>
      <w:marLeft w:val="0"/>
      <w:marRight w:val="0"/>
      <w:marTop w:val="0"/>
      <w:marBottom w:val="0"/>
      <w:divBdr>
        <w:top w:val="none" w:sz="0" w:space="0" w:color="auto"/>
        <w:left w:val="none" w:sz="0" w:space="0" w:color="auto"/>
        <w:bottom w:val="none" w:sz="0" w:space="0" w:color="auto"/>
        <w:right w:val="none" w:sz="0" w:space="0" w:color="auto"/>
      </w:divBdr>
    </w:div>
    <w:div w:id="121462758">
      <w:bodyDiv w:val="1"/>
      <w:marLeft w:val="0"/>
      <w:marRight w:val="0"/>
      <w:marTop w:val="0"/>
      <w:marBottom w:val="0"/>
      <w:divBdr>
        <w:top w:val="none" w:sz="0" w:space="0" w:color="auto"/>
        <w:left w:val="none" w:sz="0" w:space="0" w:color="auto"/>
        <w:bottom w:val="none" w:sz="0" w:space="0" w:color="auto"/>
        <w:right w:val="none" w:sz="0" w:space="0" w:color="auto"/>
      </w:divBdr>
    </w:div>
    <w:div w:id="148402720">
      <w:bodyDiv w:val="1"/>
      <w:marLeft w:val="0"/>
      <w:marRight w:val="0"/>
      <w:marTop w:val="0"/>
      <w:marBottom w:val="0"/>
      <w:divBdr>
        <w:top w:val="none" w:sz="0" w:space="0" w:color="auto"/>
        <w:left w:val="none" w:sz="0" w:space="0" w:color="auto"/>
        <w:bottom w:val="none" w:sz="0" w:space="0" w:color="auto"/>
        <w:right w:val="none" w:sz="0" w:space="0" w:color="auto"/>
      </w:divBdr>
    </w:div>
    <w:div w:id="161429288">
      <w:bodyDiv w:val="1"/>
      <w:marLeft w:val="0"/>
      <w:marRight w:val="0"/>
      <w:marTop w:val="0"/>
      <w:marBottom w:val="0"/>
      <w:divBdr>
        <w:top w:val="none" w:sz="0" w:space="0" w:color="auto"/>
        <w:left w:val="none" w:sz="0" w:space="0" w:color="auto"/>
        <w:bottom w:val="none" w:sz="0" w:space="0" w:color="auto"/>
        <w:right w:val="none" w:sz="0" w:space="0" w:color="auto"/>
      </w:divBdr>
    </w:div>
    <w:div w:id="900024242">
      <w:bodyDiv w:val="1"/>
      <w:marLeft w:val="0"/>
      <w:marRight w:val="0"/>
      <w:marTop w:val="0"/>
      <w:marBottom w:val="0"/>
      <w:divBdr>
        <w:top w:val="none" w:sz="0" w:space="0" w:color="auto"/>
        <w:left w:val="none" w:sz="0" w:space="0" w:color="auto"/>
        <w:bottom w:val="none" w:sz="0" w:space="0" w:color="auto"/>
        <w:right w:val="none" w:sz="0" w:space="0" w:color="auto"/>
      </w:divBdr>
    </w:div>
    <w:div w:id="1030062000">
      <w:bodyDiv w:val="1"/>
      <w:marLeft w:val="0"/>
      <w:marRight w:val="0"/>
      <w:marTop w:val="0"/>
      <w:marBottom w:val="0"/>
      <w:divBdr>
        <w:top w:val="none" w:sz="0" w:space="0" w:color="auto"/>
        <w:left w:val="none" w:sz="0" w:space="0" w:color="auto"/>
        <w:bottom w:val="none" w:sz="0" w:space="0" w:color="auto"/>
        <w:right w:val="none" w:sz="0" w:space="0" w:color="auto"/>
      </w:divBdr>
    </w:div>
    <w:div w:id="1095201617">
      <w:bodyDiv w:val="1"/>
      <w:marLeft w:val="0"/>
      <w:marRight w:val="0"/>
      <w:marTop w:val="0"/>
      <w:marBottom w:val="0"/>
      <w:divBdr>
        <w:top w:val="none" w:sz="0" w:space="0" w:color="auto"/>
        <w:left w:val="none" w:sz="0" w:space="0" w:color="auto"/>
        <w:bottom w:val="none" w:sz="0" w:space="0" w:color="auto"/>
        <w:right w:val="none" w:sz="0" w:space="0" w:color="auto"/>
      </w:divBdr>
    </w:div>
    <w:div w:id="1134636449">
      <w:bodyDiv w:val="1"/>
      <w:marLeft w:val="0"/>
      <w:marRight w:val="0"/>
      <w:marTop w:val="0"/>
      <w:marBottom w:val="0"/>
      <w:divBdr>
        <w:top w:val="none" w:sz="0" w:space="0" w:color="auto"/>
        <w:left w:val="none" w:sz="0" w:space="0" w:color="auto"/>
        <w:bottom w:val="none" w:sz="0" w:space="0" w:color="auto"/>
        <w:right w:val="none" w:sz="0" w:space="0" w:color="auto"/>
      </w:divBdr>
    </w:div>
    <w:div w:id="1378578306">
      <w:bodyDiv w:val="1"/>
      <w:marLeft w:val="0"/>
      <w:marRight w:val="0"/>
      <w:marTop w:val="0"/>
      <w:marBottom w:val="0"/>
      <w:divBdr>
        <w:top w:val="none" w:sz="0" w:space="0" w:color="auto"/>
        <w:left w:val="none" w:sz="0" w:space="0" w:color="auto"/>
        <w:bottom w:val="none" w:sz="0" w:space="0" w:color="auto"/>
        <w:right w:val="none" w:sz="0" w:space="0" w:color="auto"/>
      </w:divBdr>
    </w:div>
    <w:div w:id="2002273047">
      <w:bodyDiv w:val="1"/>
      <w:marLeft w:val="0"/>
      <w:marRight w:val="0"/>
      <w:marTop w:val="0"/>
      <w:marBottom w:val="0"/>
      <w:divBdr>
        <w:top w:val="none" w:sz="0" w:space="0" w:color="auto"/>
        <w:left w:val="none" w:sz="0" w:space="0" w:color="auto"/>
        <w:bottom w:val="none" w:sz="0" w:space="0" w:color="auto"/>
        <w:right w:val="none" w:sz="0" w:space="0" w:color="auto"/>
      </w:divBdr>
    </w:div>
    <w:div w:id="202501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http://idbdocs.iadb.org/wsdocs/getdocument.aspx?docnum=38277344"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idbdocs.iadb.org/wsdocs/getdocument.aspx?docnum=38349576" TargetMode="External"/><Relationship Id="rId2" Type="http://schemas.openxmlformats.org/officeDocument/2006/relationships/hyperlink" Target="http://bit.ly/BEDBEMex" TargetMode="External"/><Relationship Id="rId1" Type="http://schemas.openxmlformats.org/officeDocument/2006/relationships/hyperlink" Target="http://www.diputados.gob.mx/LeyesBiblio/pdf/LGCC.pdf" TargetMode="External"/><Relationship Id="rId5" Type="http://schemas.openxmlformats.org/officeDocument/2006/relationships/hyperlink" Target="http://idbdocs.iadb.org/wsdocs/getDocument.aspx?Docnum=38271059" TargetMode="External"/><Relationship Id="rId4" Type="http://schemas.openxmlformats.org/officeDocument/2006/relationships/hyperlink" Target="http://idbdocs.iadb.org/wsdocs/getdocument.aspx?docnum=38349576"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tx>
            <c:strRef>
              <c:f>Sheet1!$B$1</c:f>
              <c:strCache>
                <c:ptCount val="1"/>
                <c:pt idx="0">
                  <c:v>Sales</c:v>
                </c:pt>
              </c:strCache>
            </c:strRef>
          </c:tx>
          <c:dLbls>
            <c:dLbl>
              <c:idx val="0"/>
              <c:layout>
                <c:manualLayout>
                  <c:x val="-0.10272665135608049"/>
                  <c:y val="-5.633983252093488E-3"/>
                </c:manualLayout>
              </c:layout>
              <c:showLegendKey val="0"/>
              <c:showVal val="0"/>
              <c:showCatName val="1"/>
              <c:showSerName val="0"/>
              <c:showPercent val="1"/>
              <c:showBubbleSize val="0"/>
            </c:dLbl>
            <c:dLbl>
              <c:idx val="1"/>
              <c:layout>
                <c:manualLayout>
                  <c:x val="3.4776902887139111E-2"/>
                  <c:y val="2.1619797525309337E-2"/>
                </c:manualLayout>
              </c:layout>
              <c:showLegendKey val="0"/>
              <c:showVal val="0"/>
              <c:showCatName val="1"/>
              <c:showSerName val="0"/>
              <c:showPercent val="1"/>
              <c:showBubbleSize val="0"/>
            </c:dLbl>
            <c:numFmt formatCode="0.00%" sourceLinked="0"/>
            <c:showLegendKey val="0"/>
            <c:showVal val="0"/>
            <c:showCatName val="1"/>
            <c:showSerName val="0"/>
            <c:showPercent val="1"/>
            <c:showBubbleSize val="0"/>
            <c:showLeaderLines val="1"/>
          </c:dLbls>
          <c:cat>
            <c:strRef>
              <c:f>Sheet1!$A$2:$A$4</c:f>
              <c:strCache>
                <c:ptCount val="3"/>
                <c:pt idx="0">
                  <c:v>Wind Power</c:v>
                </c:pt>
                <c:pt idx="1">
                  <c:v>Solar Energy</c:v>
                </c:pt>
                <c:pt idx="2">
                  <c:v>Hydro Power</c:v>
                </c:pt>
              </c:strCache>
            </c:strRef>
          </c:cat>
          <c:val>
            <c:numRef>
              <c:f>Sheet1!$B$2:$B$4</c:f>
              <c:numCache>
                <c:formatCode>General</c:formatCode>
                <c:ptCount val="3"/>
                <c:pt idx="0">
                  <c:v>5.27</c:v>
                </c:pt>
                <c:pt idx="1">
                  <c:v>0.01</c:v>
                </c:pt>
                <c:pt idx="2">
                  <c:v>94.72</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B6F38-C259-4227-BCEC-D0AE2EE28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6916</Words>
  <Characters>39425</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46249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MHaro</cp:lastModifiedBy>
  <cp:revision>2</cp:revision>
  <cp:lastPrinted>2014-01-24T14:25:00Z</cp:lastPrinted>
  <dcterms:created xsi:type="dcterms:W3CDTF">2014-05-07T15:48:00Z</dcterms:created>
  <dcterms:modified xsi:type="dcterms:W3CDTF">2014-05-07T15:48:00Z</dcterms:modified>
</cp:coreProperties>
</file>