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91" w:rsidRPr="008F46C2" w:rsidRDefault="00B16D91" w:rsidP="00F82551">
      <w:pPr>
        <w:pStyle w:val="Chapter"/>
        <w:numPr>
          <w:ilvl w:val="0"/>
          <w:numId w:val="0"/>
        </w:numPr>
        <w:rPr>
          <w:caps/>
          <w:smallCaps w:val="0"/>
          <w:sz w:val="28"/>
          <w:szCs w:val="28"/>
        </w:rPr>
      </w:pPr>
      <w:bookmarkStart w:id="0" w:name="_Toc379462648"/>
      <w:bookmarkStart w:id="1" w:name="_GoBack"/>
      <w:bookmarkEnd w:id="1"/>
      <w:r w:rsidRPr="008F46C2">
        <w:rPr>
          <w:caps/>
          <w:smallCaps w:val="0"/>
          <w:sz w:val="28"/>
          <w:szCs w:val="28"/>
        </w:rPr>
        <w:t>Fit with CTF Investment Criteria</w:t>
      </w:r>
      <w:bookmarkEnd w:id="0"/>
    </w:p>
    <w:p w:rsidR="00B16D91" w:rsidRPr="008F46C2" w:rsidRDefault="00B16D91" w:rsidP="00B16D91">
      <w:pPr>
        <w:pStyle w:val="Heading2"/>
        <w:numPr>
          <w:ilvl w:val="0"/>
          <w:numId w:val="0"/>
        </w:numPr>
        <w:spacing w:before="0" w:after="0"/>
        <w:rPr>
          <w:rFonts w:ascii="Times New Roman" w:hAnsi="Times New Roman"/>
          <w:sz w:val="22"/>
          <w:szCs w:val="22"/>
        </w:rPr>
      </w:pPr>
      <w:r w:rsidRPr="008F46C2">
        <w:rPr>
          <w:rFonts w:ascii="Times New Roman" w:hAnsi="Times New Roman"/>
          <w:sz w:val="22"/>
          <w:szCs w:val="22"/>
        </w:rPr>
        <w:t>Fit with Mexico’s Investment Plan</w:t>
      </w:r>
      <w:r w:rsidR="00C17AB0">
        <w:rPr>
          <w:rFonts w:ascii="Times New Roman" w:hAnsi="Times New Roman"/>
          <w:sz w:val="22"/>
          <w:szCs w:val="22"/>
        </w:rPr>
        <w:t xml:space="preserve"> and with the Dedicated Private Sector Program</w:t>
      </w:r>
      <w:r w:rsidR="00881C37">
        <w:rPr>
          <w:rFonts w:ascii="Times New Roman" w:hAnsi="Times New Roman"/>
          <w:sz w:val="22"/>
          <w:szCs w:val="22"/>
        </w:rPr>
        <w:t>s</w:t>
      </w:r>
      <w:r w:rsidR="00C17AB0">
        <w:rPr>
          <w:rFonts w:ascii="Times New Roman" w:hAnsi="Times New Roman"/>
          <w:sz w:val="22"/>
          <w:szCs w:val="22"/>
        </w:rPr>
        <w:t xml:space="preserve"> </w:t>
      </w:r>
    </w:p>
    <w:p w:rsidR="00B16D91" w:rsidRPr="008F46C2" w:rsidRDefault="00B16D91" w:rsidP="00B16D91">
      <w:pPr>
        <w:pStyle w:val="Paragraph"/>
        <w:numPr>
          <w:ilvl w:val="0"/>
          <w:numId w:val="0"/>
        </w:numPr>
        <w:spacing w:before="0" w:after="0"/>
        <w:rPr>
          <w:sz w:val="22"/>
          <w:szCs w:val="22"/>
        </w:rPr>
      </w:pPr>
    </w:p>
    <w:p w:rsidR="0067323F" w:rsidRPr="00E03B11" w:rsidRDefault="00B16D91" w:rsidP="00E41EA5">
      <w:pPr>
        <w:pStyle w:val="Paragraph"/>
        <w:numPr>
          <w:ilvl w:val="0"/>
          <w:numId w:val="0"/>
        </w:numPr>
        <w:spacing w:before="0" w:after="0"/>
        <w:rPr>
          <w:sz w:val="22"/>
          <w:szCs w:val="22"/>
          <w:highlight w:val="yellow"/>
        </w:rPr>
      </w:pPr>
      <w:r w:rsidRPr="008F46C2">
        <w:rPr>
          <w:sz w:val="22"/>
          <w:szCs w:val="22"/>
        </w:rPr>
        <w:t xml:space="preserve">Mexico’s Investment Plan, revised in May 2013 and endorsed by the </w:t>
      </w:r>
      <w:r w:rsidR="005E1C12">
        <w:rPr>
          <w:sz w:val="22"/>
          <w:szCs w:val="22"/>
        </w:rPr>
        <w:t>TFC of the CTF, includes USD34.3</w:t>
      </w:r>
      <w:r w:rsidRPr="008F46C2">
        <w:rPr>
          <w:sz w:val="22"/>
          <w:szCs w:val="22"/>
        </w:rPr>
        <w:t xml:space="preserve"> M for a geothermal risk mitigation program.</w:t>
      </w:r>
      <w:r w:rsidRPr="008F46C2">
        <w:rPr>
          <w:rStyle w:val="FootnoteReference"/>
          <w:sz w:val="22"/>
          <w:szCs w:val="22"/>
        </w:rPr>
        <w:footnoteReference w:id="1"/>
      </w:r>
      <w:r w:rsidRPr="008F46C2">
        <w:rPr>
          <w:sz w:val="22"/>
          <w:szCs w:val="22"/>
        </w:rPr>
        <w:t xml:space="preserve"> Additionally, USD20 M resources from the Dedicated Private Sector Programs, endorsed in October 2013, were allocated to Mexico for the development of further instruments to promote </w:t>
      </w:r>
      <w:r w:rsidR="00E03B11">
        <w:rPr>
          <w:sz w:val="22"/>
          <w:szCs w:val="22"/>
        </w:rPr>
        <w:t xml:space="preserve">private </w:t>
      </w:r>
      <w:r w:rsidRPr="008F46C2">
        <w:rPr>
          <w:sz w:val="22"/>
          <w:szCs w:val="22"/>
        </w:rPr>
        <w:t xml:space="preserve">geothermal development in the country. </w:t>
      </w:r>
      <w:r w:rsidRPr="008F46C2">
        <w:rPr>
          <w:b/>
          <w:sz w:val="22"/>
          <w:szCs w:val="22"/>
        </w:rPr>
        <w:t xml:space="preserve">This proposal combines the two sources in a comprehensive Facility that offers a range of financial and risk mitigation mechanisms tailored to meet the specific needs for each </w:t>
      </w:r>
      <w:r w:rsidR="00E41EA5">
        <w:rPr>
          <w:b/>
          <w:sz w:val="22"/>
          <w:szCs w:val="22"/>
        </w:rPr>
        <w:t xml:space="preserve">project’s stage of development, </w:t>
      </w:r>
      <w:r w:rsidR="00806DAE" w:rsidRPr="00E41EA5">
        <w:rPr>
          <w:sz w:val="22"/>
          <w:szCs w:val="22"/>
        </w:rPr>
        <w:t xml:space="preserve">namely: </w:t>
      </w:r>
      <w:r w:rsidR="00E03B11" w:rsidRPr="00E03B11">
        <w:rPr>
          <w:sz w:val="22"/>
          <w:szCs w:val="22"/>
        </w:rPr>
        <w:t>(i) exploration and test drilling, where risk and/or cost sharing instruments are combined with lending to reduce Value at Risk for developers, hence removing the main barrier to investment; (ii) field development, production and re-injection drilling, where risk mitigation instruments may be developed with the private sector (insurance) to deal with the still relatively high risk levels</w:t>
      </w:r>
      <w:r w:rsidR="00E03B11" w:rsidRPr="005708A5">
        <w:rPr>
          <w:sz w:val="22"/>
          <w:szCs w:val="22"/>
        </w:rPr>
        <w:t xml:space="preserve">, and can be combined with lending; (iii) construction and operation phase (only once sufficiency and stability of the resource have been proven), which requires more standard financing tools (ordinary, subordinate or concessional debt, but also contingent finance and guarantees). </w:t>
      </w:r>
      <w:r w:rsidR="00806DAE" w:rsidRPr="005708A5">
        <w:rPr>
          <w:sz w:val="22"/>
          <w:szCs w:val="22"/>
        </w:rPr>
        <w:t xml:space="preserve">CTF resources from DPSP </w:t>
      </w:r>
      <w:r w:rsidR="0005175E">
        <w:rPr>
          <w:sz w:val="22"/>
          <w:szCs w:val="22"/>
        </w:rPr>
        <w:t xml:space="preserve">(together with Government funds) </w:t>
      </w:r>
      <w:r w:rsidR="00806DAE" w:rsidRPr="005708A5">
        <w:rPr>
          <w:sz w:val="22"/>
          <w:szCs w:val="22"/>
        </w:rPr>
        <w:t xml:space="preserve">are </w:t>
      </w:r>
      <w:r w:rsidR="0005175E">
        <w:rPr>
          <w:sz w:val="22"/>
          <w:szCs w:val="22"/>
        </w:rPr>
        <w:t>used to reduce risk and back the financing of</w:t>
      </w:r>
      <w:r w:rsidR="00806DAE" w:rsidRPr="005708A5">
        <w:rPr>
          <w:sz w:val="22"/>
          <w:szCs w:val="22"/>
        </w:rPr>
        <w:t xml:space="preserve"> the projects</w:t>
      </w:r>
      <w:r w:rsidR="0005175E">
        <w:rPr>
          <w:sz w:val="22"/>
          <w:szCs w:val="22"/>
        </w:rPr>
        <w:t xml:space="preserve">, a role that is deemed especially critical </w:t>
      </w:r>
      <w:r w:rsidR="00806DAE" w:rsidRPr="005708A5">
        <w:rPr>
          <w:sz w:val="22"/>
          <w:szCs w:val="22"/>
        </w:rPr>
        <w:t xml:space="preserve">in the </w:t>
      </w:r>
      <w:r w:rsidR="0005175E">
        <w:rPr>
          <w:sz w:val="22"/>
          <w:szCs w:val="22"/>
        </w:rPr>
        <w:t xml:space="preserve">early </w:t>
      </w:r>
      <w:r w:rsidR="00806DAE" w:rsidRPr="005708A5">
        <w:rPr>
          <w:sz w:val="22"/>
          <w:szCs w:val="22"/>
        </w:rPr>
        <w:t xml:space="preserve">exploration phase, while resources from the IP will </w:t>
      </w:r>
      <w:r w:rsidR="0005175E">
        <w:rPr>
          <w:sz w:val="22"/>
          <w:szCs w:val="22"/>
        </w:rPr>
        <w:t xml:space="preserve">contribute to financing </w:t>
      </w:r>
      <w:r w:rsidR="00806DAE" w:rsidRPr="005708A5">
        <w:rPr>
          <w:sz w:val="22"/>
          <w:szCs w:val="22"/>
        </w:rPr>
        <w:t xml:space="preserve">projects </w:t>
      </w:r>
      <w:r w:rsidR="0005175E">
        <w:rPr>
          <w:sz w:val="22"/>
          <w:szCs w:val="22"/>
        </w:rPr>
        <w:t>at all stages, even after risk levels are reduced and projects are</w:t>
      </w:r>
      <w:r w:rsidR="00806DAE" w:rsidRPr="005708A5">
        <w:rPr>
          <w:sz w:val="22"/>
          <w:szCs w:val="22"/>
        </w:rPr>
        <w:t xml:space="preserve"> closer to commercial financing.</w:t>
      </w:r>
    </w:p>
    <w:p w:rsidR="00806DAE" w:rsidRDefault="00806DAE" w:rsidP="00B16D91">
      <w:pPr>
        <w:pStyle w:val="Heading2"/>
        <w:numPr>
          <w:ilvl w:val="0"/>
          <w:numId w:val="0"/>
        </w:numPr>
        <w:spacing w:before="0" w:after="0"/>
        <w:rPr>
          <w:rFonts w:ascii="Times New Roman" w:hAnsi="Times New Roman"/>
          <w:sz w:val="22"/>
          <w:szCs w:val="22"/>
        </w:rPr>
      </w:pPr>
    </w:p>
    <w:p w:rsidR="00B16D91" w:rsidRPr="008F46C2" w:rsidRDefault="00B16D91" w:rsidP="00B16D91">
      <w:pPr>
        <w:pStyle w:val="Heading2"/>
        <w:numPr>
          <w:ilvl w:val="0"/>
          <w:numId w:val="0"/>
        </w:numPr>
        <w:spacing w:before="0" w:after="0"/>
        <w:rPr>
          <w:rFonts w:ascii="Times New Roman" w:hAnsi="Times New Roman"/>
          <w:sz w:val="22"/>
          <w:szCs w:val="22"/>
        </w:rPr>
      </w:pPr>
      <w:r w:rsidRPr="008F46C2">
        <w:rPr>
          <w:rFonts w:ascii="Times New Roman" w:hAnsi="Times New Roman"/>
          <w:sz w:val="22"/>
          <w:szCs w:val="22"/>
        </w:rPr>
        <w:t>Potential for GHG Emissions Savings</w:t>
      </w:r>
    </w:p>
    <w:p w:rsidR="00B16D91" w:rsidRPr="008F46C2" w:rsidRDefault="00B16D91" w:rsidP="00B16D91">
      <w:pPr>
        <w:pStyle w:val="Paragraph"/>
        <w:numPr>
          <w:ilvl w:val="0"/>
          <w:numId w:val="0"/>
        </w:numPr>
        <w:spacing w:before="0" w:after="0"/>
        <w:rPr>
          <w:b/>
          <w:sz w:val="22"/>
          <w:szCs w:val="22"/>
        </w:rPr>
      </w:pPr>
      <w:r w:rsidRPr="008F46C2">
        <w:rPr>
          <w:sz w:val="22"/>
          <w:szCs w:val="22"/>
        </w:rPr>
        <w:t>The Results Matrix (Annex I) outlines the indicators and the means to verify the accomplishment of the program’s targets. Using conservative estimates, the program is expected to finance 6 geothermal power pla</w:t>
      </w:r>
      <w:r w:rsidR="00881C37">
        <w:rPr>
          <w:sz w:val="22"/>
          <w:szCs w:val="22"/>
        </w:rPr>
        <w:t>nts producing electricity by 202</w:t>
      </w:r>
      <w:r w:rsidRPr="008F46C2">
        <w:rPr>
          <w:sz w:val="22"/>
          <w:szCs w:val="22"/>
        </w:rPr>
        <w:t>4</w:t>
      </w:r>
      <w:r w:rsidR="00881C37">
        <w:rPr>
          <w:sz w:val="22"/>
          <w:szCs w:val="22"/>
        </w:rPr>
        <w:t xml:space="preserve">, with a capacity of 50 MW each. </w:t>
      </w:r>
      <w:r w:rsidRPr="008F46C2">
        <w:rPr>
          <w:sz w:val="22"/>
          <w:szCs w:val="22"/>
        </w:rPr>
        <w:t>.</w:t>
      </w:r>
      <w:r w:rsidR="00881C37">
        <w:rPr>
          <w:sz w:val="22"/>
          <w:szCs w:val="22"/>
        </w:rPr>
        <w:t>T</w:t>
      </w:r>
      <w:r w:rsidRPr="008F46C2">
        <w:rPr>
          <w:sz w:val="22"/>
          <w:szCs w:val="22"/>
        </w:rPr>
        <w:t xml:space="preserve">he </w:t>
      </w:r>
      <w:r w:rsidR="00881C37">
        <w:rPr>
          <w:sz w:val="22"/>
          <w:szCs w:val="22"/>
        </w:rPr>
        <w:t>w</w:t>
      </w:r>
      <w:r w:rsidRPr="008F46C2">
        <w:rPr>
          <w:sz w:val="22"/>
          <w:szCs w:val="22"/>
        </w:rPr>
        <w:t xml:space="preserve">ould lead to emissions savings of around </w:t>
      </w:r>
      <w:r w:rsidRPr="008F46C2">
        <w:rPr>
          <w:b/>
          <w:sz w:val="22"/>
          <w:szCs w:val="22"/>
        </w:rPr>
        <w:t>1.10 MtCO</w:t>
      </w:r>
      <w:r w:rsidRPr="008F46C2">
        <w:rPr>
          <w:b/>
          <w:sz w:val="22"/>
          <w:szCs w:val="22"/>
          <w:vertAlign w:val="subscript"/>
        </w:rPr>
        <w:t>2</w:t>
      </w:r>
      <w:r w:rsidRPr="008F46C2">
        <w:rPr>
          <w:sz w:val="22"/>
          <w:szCs w:val="22"/>
        </w:rPr>
        <w:t xml:space="preserve"> per year</w:t>
      </w:r>
      <w:r w:rsidRPr="008F46C2">
        <w:rPr>
          <w:rStyle w:val="FootnoteReference"/>
          <w:sz w:val="22"/>
          <w:szCs w:val="22"/>
        </w:rPr>
        <w:footnoteReference w:id="2"/>
      </w:r>
      <w:r w:rsidRPr="008F46C2">
        <w:rPr>
          <w:sz w:val="22"/>
          <w:szCs w:val="22"/>
        </w:rPr>
        <w:t xml:space="preserve">. With these, the total resources invested (CTF IP + IDB +CTF DPSP) would deliver estimated emissions reductions of </w:t>
      </w:r>
      <w:r w:rsidRPr="008F46C2">
        <w:rPr>
          <w:b/>
          <w:sz w:val="22"/>
          <w:szCs w:val="22"/>
        </w:rPr>
        <w:t>33 MtCO</w:t>
      </w:r>
      <w:r w:rsidRPr="008F46C2">
        <w:rPr>
          <w:b/>
          <w:sz w:val="22"/>
          <w:szCs w:val="22"/>
          <w:vertAlign w:val="subscript"/>
        </w:rPr>
        <w:t>2</w:t>
      </w:r>
      <w:r w:rsidRPr="008F46C2">
        <w:rPr>
          <w:b/>
          <w:sz w:val="22"/>
          <w:szCs w:val="22"/>
        </w:rPr>
        <w:t xml:space="preserve"> in 30 years of operation of the plants. </w:t>
      </w:r>
    </w:p>
    <w:p w:rsidR="00B16D91" w:rsidRPr="008F46C2" w:rsidRDefault="00B16D91" w:rsidP="00B16D91">
      <w:pPr>
        <w:pStyle w:val="Heading2"/>
        <w:numPr>
          <w:ilvl w:val="0"/>
          <w:numId w:val="0"/>
        </w:numPr>
        <w:spacing w:before="0" w:after="0"/>
        <w:rPr>
          <w:rFonts w:ascii="Times New Roman" w:hAnsi="Times New Roman"/>
          <w:sz w:val="22"/>
          <w:szCs w:val="22"/>
        </w:rPr>
      </w:pPr>
    </w:p>
    <w:p w:rsidR="00B16D91" w:rsidRPr="008F46C2" w:rsidRDefault="00B16D91" w:rsidP="00B16D91">
      <w:pPr>
        <w:pStyle w:val="Heading2"/>
        <w:numPr>
          <w:ilvl w:val="0"/>
          <w:numId w:val="0"/>
        </w:numPr>
        <w:spacing w:before="0" w:after="0"/>
        <w:rPr>
          <w:rFonts w:ascii="Times New Roman" w:hAnsi="Times New Roman"/>
          <w:sz w:val="22"/>
          <w:szCs w:val="22"/>
        </w:rPr>
      </w:pPr>
      <w:r w:rsidRPr="008F46C2">
        <w:rPr>
          <w:rFonts w:ascii="Times New Roman" w:hAnsi="Times New Roman"/>
          <w:sz w:val="22"/>
          <w:szCs w:val="22"/>
        </w:rPr>
        <w:t>Cost-effectiveness</w:t>
      </w:r>
    </w:p>
    <w:p w:rsidR="007E27B8" w:rsidRDefault="00B16D91" w:rsidP="00B16D91">
      <w:pPr>
        <w:pStyle w:val="Paragraph"/>
        <w:numPr>
          <w:ilvl w:val="0"/>
          <w:numId w:val="0"/>
        </w:numPr>
        <w:spacing w:before="0" w:after="0"/>
        <w:rPr>
          <w:sz w:val="22"/>
          <w:szCs w:val="22"/>
        </w:rPr>
      </w:pPr>
      <w:r w:rsidRPr="008F46C2">
        <w:rPr>
          <w:sz w:val="22"/>
          <w:szCs w:val="22"/>
        </w:rPr>
        <w:t>Based on estimated reductions of CO</w:t>
      </w:r>
      <w:r w:rsidRPr="007E27B8">
        <w:rPr>
          <w:sz w:val="22"/>
          <w:szCs w:val="22"/>
          <w:vertAlign w:val="subscript"/>
        </w:rPr>
        <w:t>2</w:t>
      </w:r>
      <w:r w:rsidRPr="008F46C2">
        <w:rPr>
          <w:sz w:val="22"/>
          <w:szCs w:val="22"/>
        </w:rPr>
        <w:t xml:space="preserve"> emissions over the course of a 30 year lifetime of projects financed, and </w:t>
      </w:r>
      <w:r w:rsidR="007E27B8">
        <w:rPr>
          <w:sz w:val="22"/>
          <w:szCs w:val="22"/>
        </w:rPr>
        <w:t xml:space="preserve">assuming </w:t>
      </w:r>
      <w:r w:rsidRPr="008F46C2">
        <w:rPr>
          <w:sz w:val="22"/>
          <w:szCs w:val="22"/>
        </w:rPr>
        <w:t xml:space="preserve">US$54.3 million from the CTF, the investment </w:t>
      </w:r>
      <w:r w:rsidR="006C3006">
        <w:rPr>
          <w:sz w:val="22"/>
          <w:szCs w:val="22"/>
        </w:rPr>
        <w:t xml:space="preserve">per ton </w:t>
      </w:r>
      <w:r w:rsidR="007E27B8">
        <w:rPr>
          <w:sz w:val="22"/>
          <w:szCs w:val="22"/>
        </w:rPr>
        <w:t>is USD1.64 per ton of CO</w:t>
      </w:r>
      <w:r w:rsidR="007E27B8" w:rsidRPr="007E27B8">
        <w:rPr>
          <w:sz w:val="22"/>
          <w:szCs w:val="22"/>
          <w:vertAlign w:val="subscript"/>
        </w:rPr>
        <w:t>2</w:t>
      </w:r>
      <w:r w:rsidR="007E27B8">
        <w:rPr>
          <w:sz w:val="22"/>
          <w:szCs w:val="22"/>
        </w:rPr>
        <w:t xml:space="preserve">e, considering only the </w:t>
      </w:r>
      <w:r w:rsidRPr="008F46C2">
        <w:rPr>
          <w:sz w:val="22"/>
          <w:szCs w:val="22"/>
        </w:rPr>
        <w:t>CTF resources</w:t>
      </w:r>
      <w:r w:rsidR="007E27B8">
        <w:rPr>
          <w:sz w:val="22"/>
          <w:szCs w:val="22"/>
        </w:rPr>
        <w:t>; USD3.64/tCO</w:t>
      </w:r>
      <w:r w:rsidR="007E27B8" w:rsidRPr="007E27B8">
        <w:rPr>
          <w:sz w:val="22"/>
          <w:szCs w:val="22"/>
          <w:vertAlign w:val="subscript"/>
        </w:rPr>
        <w:t>2</w:t>
      </w:r>
      <w:r w:rsidR="007E27B8">
        <w:rPr>
          <w:sz w:val="22"/>
          <w:szCs w:val="22"/>
        </w:rPr>
        <w:t>e considering the resources from the CTF, the IDB and the government, or USD 36.36/tCO</w:t>
      </w:r>
      <w:r w:rsidR="007E27B8" w:rsidRPr="007E27B8">
        <w:rPr>
          <w:sz w:val="22"/>
          <w:szCs w:val="22"/>
          <w:vertAlign w:val="subscript"/>
        </w:rPr>
        <w:t>2</w:t>
      </w:r>
      <w:r w:rsidR="007E27B8">
        <w:rPr>
          <w:sz w:val="22"/>
          <w:szCs w:val="22"/>
        </w:rPr>
        <w:t xml:space="preserve">e, considering </w:t>
      </w:r>
      <w:r w:rsidR="0005175E">
        <w:rPr>
          <w:sz w:val="22"/>
          <w:szCs w:val="22"/>
        </w:rPr>
        <w:t>overa</w:t>
      </w:r>
      <w:r w:rsidR="007E27B8">
        <w:rPr>
          <w:sz w:val="22"/>
          <w:szCs w:val="22"/>
        </w:rPr>
        <w:t xml:space="preserve">ll </w:t>
      </w:r>
      <w:r w:rsidR="0005175E">
        <w:rPr>
          <w:sz w:val="22"/>
          <w:szCs w:val="22"/>
        </w:rPr>
        <w:t>i</w:t>
      </w:r>
      <w:r w:rsidR="007E27B8">
        <w:rPr>
          <w:sz w:val="22"/>
          <w:szCs w:val="22"/>
        </w:rPr>
        <w:t>nvestment (USD 1,200M, including private sources).</w:t>
      </w:r>
    </w:p>
    <w:p w:rsidR="00B16D91" w:rsidRPr="008F46C2" w:rsidRDefault="007E27B8" w:rsidP="00B16D91">
      <w:pPr>
        <w:pStyle w:val="Paragraph"/>
        <w:numPr>
          <w:ilvl w:val="0"/>
          <w:numId w:val="0"/>
        </w:numPr>
        <w:spacing w:before="0" w:after="0"/>
        <w:rPr>
          <w:sz w:val="22"/>
          <w:szCs w:val="22"/>
        </w:rPr>
      </w:pPr>
      <w:r>
        <w:rPr>
          <w:sz w:val="22"/>
          <w:szCs w:val="22"/>
        </w:rPr>
        <w:t xml:space="preserve">An assessment of the </w:t>
      </w:r>
      <w:r w:rsidR="00B16D91" w:rsidRPr="008F46C2">
        <w:rPr>
          <w:sz w:val="22"/>
          <w:szCs w:val="22"/>
        </w:rPr>
        <w:t xml:space="preserve">Marginal Abatement Cost (MAC) </w:t>
      </w:r>
      <w:r>
        <w:rPr>
          <w:sz w:val="22"/>
          <w:szCs w:val="22"/>
        </w:rPr>
        <w:t xml:space="preserve">for geothermal power in Mexico was carried out as part of </w:t>
      </w:r>
      <w:r w:rsidR="00B16D91" w:rsidRPr="008F46C2">
        <w:rPr>
          <w:sz w:val="22"/>
          <w:szCs w:val="22"/>
        </w:rPr>
        <w:t>t</w:t>
      </w:r>
      <w:r w:rsidR="0003561B" w:rsidRPr="008F46C2">
        <w:rPr>
          <w:sz w:val="22"/>
          <w:szCs w:val="22"/>
        </w:rPr>
        <w:t>he</w:t>
      </w:r>
      <w:r w:rsidR="00B16D91" w:rsidRPr="008F46C2">
        <w:rPr>
          <w:sz w:val="22"/>
          <w:szCs w:val="22"/>
        </w:rPr>
        <w:t xml:space="preserve"> </w:t>
      </w:r>
      <w:hyperlink r:id="rId9" w:history="1">
        <w:r w:rsidR="0003561B" w:rsidRPr="008F46C2">
          <w:rPr>
            <w:rStyle w:val="Hyperlink"/>
            <w:sz w:val="22"/>
            <w:szCs w:val="22"/>
          </w:rPr>
          <w:t>Low Carbon Development Study for Mexico</w:t>
        </w:r>
      </w:hyperlink>
      <w:r w:rsidR="00B16D91" w:rsidRPr="008F46C2">
        <w:rPr>
          <w:sz w:val="22"/>
          <w:szCs w:val="22"/>
        </w:rPr>
        <w:t xml:space="preserve"> (2009)</w:t>
      </w:r>
      <w:r w:rsidR="007F019E">
        <w:rPr>
          <w:rStyle w:val="FootnoteReference"/>
          <w:sz w:val="22"/>
          <w:szCs w:val="22"/>
        </w:rPr>
        <w:footnoteReference w:id="3"/>
      </w:r>
      <w:r>
        <w:rPr>
          <w:sz w:val="22"/>
          <w:szCs w:val="22"/>
        </w:rPr>
        <w:t xml:space="preserve">. The result is a </w:t>
      </w:r>
      <w:r w:rsidR="00B16D91" w:rsidRPr="008F46C2">
        <w:rPr>
          <w:sz w:val="22"/>
          <w:szCs w:val="22"/>
        </w:rPr>
        <w:t>MAC of 11USD per tCO2e</w:t>
      </w:r>
      <w:r>
        <w:rPr>
          <w:sz w:val="22"/>
          <w:szCs w:val="22"/>
        </w:rPr>
        <w:t xml:space="preserve"> (positive).</w:t>
      </w:r>
    </w:p>
    <w:p w:rsidR="00B16D91" w:rsidRPr="008F46C2" w:rsidRDefault="00B16D91" w:rsidP="00B16D91">
      <w:pPr>
        <w:pStyle w:val="Heading2"/>
        <w:numPr>
          <w:ilvl w:val="0"/>
          <w:numId w:val="0"/>
        </w:numPr>
        <w:spacing w:before="0" w:after="0"/>
        <w:rPr>
          <w:rFonts w:ascii="Times New Roman" w:hAnsi="Times New Roman"/>
          <w:sz w:val="22"/>
          <w:szCs w:val="22"/>
        </w:rPr>
      </w:pPr>
    </w:p>
    <w:p w:rsidR="00B16D91" w:rsidRPr="008F46C2" w:rsidRDefault="00B16D91" w:rsidP="00B16D91">
      <w:pPr>
        <w:pStyle w:val="Heading2"/>
        <w:numPr>
          <w:ilvl w:val="0"/>
          <w:numId w:val="0"/>
        </w:numPr>
        <w:spacing w:before="0" w:after="0"/>
        <w:rPr>
          <w:rFonts w:ascii="Times New Roman" w:hAnsi="Times New Roman"/>
          <w:sz w:val="22"/>
          <w:szCs w:val="22"/>
        </w:rPr>
      </w:pPr>
      <w:r w:rsidRPr="008F46C2">
        <w:rPr>
          <w:rFonts w:ascii="Times New Roman" w:hAnsi="Times New Roman"/>
          <w:sz w:val="22"/>
          <w:szCs w:val="22"/>
        </w:rPr>
        <w:t>Demonstration Potential at Scale</w:t>
      </w:r>
    </w:p>
    <w:p w:rsidR="00B16D91" w:rsidRPr="008F46C2" w:rsidRDefault="00B16D91" w:rsidP="00B16D91">
      <w:pPr>
        <w:autoSpaceDE w:val="0"/>
        <w:autoSpaceDN w:val="0"/>
        <w:adjustRightInd w:val="0"/>
        <w:rPr>
          <w:rFonts w:ascii="Times New Roman" w:hAnsi="Times New Roman" w:cs="Times New Roman"/>
          <w:u w:val="single"/>
        </w:rPr>
      </w:pPr>
    </w:p>
    <w:p w:rsidR="00B16D91" w:rsidRPr="008F46C2" w:rsidRDefault="00B16D91" w:rsidP="00B16D91">
      <w:pPr>
        <w:autoSpaceDE w:val="0"/>
        <w:autoSpaceDN w:val="0"/>
        <w:adjustRightInd w:val="0"/>
        <w:rPr>
          <w:rFonts w:ascii="Times New Roman" w:hAnsi="Times New Roman" w:cs="Times New Roman"/>
          <w:u w:val="single"/>
        </w:rPr>
      </w:pPr>
      <w:r w:rsidRPr="008F46C2">
        <w:rPr>
          <w:rFonts w:ascii="Times New Roman" w:hAnsi="Times New Roman" w:cs="Times New Roman"/>
          <w:u w:val="single"/>
        </w:rPr>
        <w:t>Scope for avoided annual GHG emissions.</w:t>
      </w:r>
      <w:r w:rsidRPr="008F46C2">
        <w:rPr>
          <w:rFonts w:ascii="Times New Roman" w:hAnsi="Times New Roman" w:cs="Times New Roman"/>
        </w:rPr>
        <w:t xml:space="preserve">  A </w:t>
      </w:r>
      <w:hyperlink r:id="rId10" w:history="1">
        <w:r w:rsidRPr="008F46C2">
          <w:rPr>
            <w:rStyle w:val="Hyperlink"/>
            <w:rFonts w:ascii="Times New Roman" w:hAnsi="Times New Roman" w:cs="Times New Roman"/>
          </w:rPr>
          <w:t>recent study</w:t>
        </w:r>
      </w:hyperlink>
      <w:r w:rsidRPr="008F46C2">
        <w:rPr>
          <w:rFonts w:ascii="Times New Roman" w:hAnsi="Times New Roman" w:cs="Times New Roman"/>
        </w:rPr>
        <w:t xml:space="preserve"> commissioned by SENER conservatively estimates the potential capacity to be installed in the medium term at 2,200 MW</w:t>
      </w:r>
      <w:r w:rsidRPr="008F46C2">
        <w:rPr>
          <w:rStyle w:val="FootnoteReference"/>
          <w:rFonts w:ascii="Times New Roman" w:hAnsi="Times New Roman" w:cs="Times New Roman"/>
        </w:rPr>
        <w:footnoteReference w:id="4"/>
      </w:r>
      <w:r w:rsidRPr="008F46C2">
        <w:rPr>
          <w:rFonts w:ascii="Times New Roman" w:hAnsi="Times New Roman" w:cs="Times New Roman"/>
        </w:rPr>
        <w:t xml:space="preserve">, although estimations vary widely. According to the same source, such geothermal development would allow capture 14% of the abatement potential in the energy sector CO2 emissions in 2020, decreasing </w:t>
      </w:r>
      <w:r w:rsidRPr="008F46C2">
        <w:rPr>
          <w:rFonts w:ascii="Times New Roman" w:hAnsi="Times New Roman" w:cs="Times New Roman"/>
          <w:b/>
        </w:rPr>
        <w:t>8.4 MtCO2</w:t>
      </w:r>
      <w:r w:rsidRPr="008F46C2">
        <w:rPr>
          <w:rFonts w:ascii="Times New Roman" w:hAnsi="Times New Roman" w:cs="Times New Roman"/>
        </w:rPr>
        <w:t xml:space="preserve"> in that year.  </w:t>
      </w:r>
    </w:p>
    <w:p w:rsidR="00B16D91" w:rsidRPr="008F46C2" w:rsidRDefault="00B16D91" w:rsidP="00B16D91">
      <w:pPr>
        <w:autoSpaceDE w:val="0"/>
        <w:autoSpaceDN w:val="0"/>
        <w:adjustRightInd w:val="0"/>
        <w:rPr>
          <w:rFonts w:ascii="Times New Roman" w:hAnsi="Times New Roman" w:cs="Times New Roman"/>
          <w:u w:val="single"/>
        </w:rPr>
      </w:pPr>
    </w:p>
    <w:p w:rsidR="00B16D91" w:rsidRPr="008F46C2" w:rsidRDefault="00B16D91" w:rsidP="00B16D91">
      <w:pPr>
        <w:autoSpaceDE w:val="0"/>
        <w:autoSpaceDN w:val="0"/>
        <w:adjustRightInd w:val="0"/>
        <w:rPr>
          <w:rFonts w:ascii="Times New Roman" w:hAnsi="Times New Roman" w:cs="Times New Roman"/>
          <w:b/>
        </w:rPr>
      </w:pPr>
      <w:r w:rsidRPr="008F46C2">
        <w:rPr>
          <w:rFonts w:ascii="Times New Roman" w:hAnsi="Times New Roman" w:cs="Times New Roman"/>
          <w:u w:val="single"/>
        </w:rPr>
        <w:lastRenderedPageBreak/>
        <w:t>Transformation Potential.</w:t>
      </w:r>
      <w:r w:rsidRPr="008F46C2">
        <w:rPr>
          <w:rFonts w:ascii="Times New Roman" w:hAnsi="Times New Roman" w:cs="Times New Roman"/>
        </w:rPr>
        <w:t xml:space="preserve"> This program combines C</w:t>
      </w:r>
      <w:r w:rsidR="0056125F" w:rsidRPr="008F46C2">
        <w:rPr>
          <w:rFonts w:ascii="Times New Roman" w:hAnsi="Times New Roman" w:cs="Times New Roman"/>
        </w:rPr>
        <w:t>TF concessional resources (US$ 54.3 million) with IDB (US$ 5</w:t>
      </w:r>
      <w:r w:rsidRPr="008F46C2">
        <w:rPr>
          <w:rFonts w:ascii="Times New Roman" w:hAnsi="Times New Roman" w:cs="Times New Roman"/>
        </w:rPr>
        <w:t>4.3million) and resources from the Mexican Government (</w:t>
      </w:r>
      <w:r w:rsidR="0056125F" w:rsidRPr="008F46C2">
        <w:rPr>
          <w:rFonts w:ascii="Times New Roman" w:hAnsi="Times New Roman" w:cs="Times New Roman"/>
        </w:rPr>
        <w:t>US$ 11.5</w:t>
      </w:r>
      <w:r w:rsidRPr="008F46C2">
        <w:rPr>
          <w:rFonts w:ascii="Times New Roman" w:hAnsi="Times New Roman" w:cs="Times New Roman"/>
        </w:rPr>
        <w:t xml:space="preserve"> million), </w:t>
      </w:r>
      <w:r w:rsidRPr="008F46C2">
        <w:rPr>
          <w:rFonts w:ascii="Times New Roman" w:hAnsi="Times New Roman" w:cs="Times New Roman"/>
          <w:b/>
        </w:rPr>
        <w:t xml:space="preserve">leveraging </w:t>
      </w:r>
      <w:r w:rsidRPr="0005175E">
        <w:rPr>
          <w:rFonts w:ascii="Times New Roman" w:hAnsi="Times New Roman" w:cs="Times New Roman"/>
          <w:b/>
        </w:rPr>
        <w:t xml:space="preserve">an </w:t>
      </w:r>
      <w:r w:rsidRPr="00D824C8">
        <w:rPr>
          <w:rFonts w:ascii="Times New Roman" w:hAnsi="Times New Roman" w:cs="Times New Roman"/>
          <w:b/>
        </w:rPr>
        <w:t xml:space="preserve">USD </w:t>
      </w:r>
      <w:r w:rsidR="006104A6" w:rsidRPr="00D824C8">
        <w:rPr>
          <w:rFonts w:ascii="Times New Roman" w:hAnsi="Times New Roman" w:cs="Times New Roman"/>
          <w:b/>
        </w:rPr>
        <w:t xml:space="preserve">1145.7 </w:t>
      </w:r>
      <w:r w:rsidRPr="00D824C8">
        <w:rPr>
          <w:rFonts w:ascii="Times New Roman" w:hAnsi="Times New Roman" w:cs="Times New Roman"/>
          <w:b/>
        </w:rPr>
        <w:t>million</w:t>
      </w:r>
      <w:r w:rsidRPr="0005175E">
        <w:rPr>
          <w:rFonts w:ascii="Times New Roman" w:hAnsi="Times New Roman" w:cs="Times New Roman"/>
          <w:b/>
        </w:rPr>
        <w:t xml:space="preserve"> from</w:t>
      </w:r>
      <w:r w:rsidRPr="008F46C2">
        <w:rPr>
          <w:rFonts w:ascii="Times New Roman" w:hAnsi="Times New Roman" w:cs="Times New Roman"/>
          <w:b/>
        </w:rPr>
        <w:t xml:space="preserve"> third party sources</w:t>
      </w:r>
      <w:r w:rsidRPr="008F46C2">
        <w:rPr>
          <w:rStyle w:val="FootnoteReference"/>
          <w:rFonts w:ascii="Times New Roman" w:hAnsi="Times New Roman" w:cs="Times New Roman"/>
          <w:b/>
        </w:rPr>
        <w:footnoteReference w:id="5"/>
      </w:r>
      <w:r w:rsidRPr="008F46C2">
        <w:rPr>
          <w:rFonts w:ascii="Times New Roman" w:hAnsi="Times New Roman" w:cs="Times New Roman"/>
          <w:b/>
        </w:rPr>
        <w:t xml:space="preserve"> up to a total of US$1,200 million total </w:t>
      </w:r>
      <w:r w:rsidR="00E41EA5">
        <w:rPr>
          <w:rFonts w:ascii="Times New Roman" w:hAnsi="Times New Roman" w:cs="Times New Roman"/>
          <w:b/>
        </w:rPr>
        <w:t>resources</w:t>
      </w:r>
      <w:r w:rsidRPr="008F46C2">
        <w:rPr>
          <w:rFonts w:ascii="Times New Roman" w:hAnsi="Times New Roman" w:cs="Times New Roman"/>
        </w:rPr>
        <w:t xml:space="preserve"> (including program and third party, public and private financing plus capital resources). The goal of the Program is to trigger investment in geothermal energy in Mexico, helping project developers overcome financial barriers, creating security for investors and advancing knowledge for financial institutions so that a track record for private intervention is established and the enormous potential of Mexico is unlocked.  The Program includes a technical cooperation component that will ensure the building of capacity within NAFIN and SENER in order to guarantee the sustainability of the Program, as well as foster synergies with other related initiatives, such as the Geothermal Excellent Training center in El Salvador and the recently presented Geothermal Excellence center in Mexico. </w:t>
      </w:r>
      <w:r w:rsidRPr="008F46C2">
        <w:rPr>
          <w:rFonts w:ascii="Times New Roman" w:hAnsi="Times New Roman" w:cs="Times New Roman"/>
          <w:b/>
        </w:rPr>
        <w:t>The innovative approach of the Program</w:t>
      </w:r>
      <w:r w:rsidRPr="008F46C2">
        <w:rPr>
          <w:rFonts w:ascii="Times New Roman" w:hAnsi="Times New Roman" w:cs="Times New Roman"/>
        </w:rPr>
        <w:t xml:space="preserve">, using a multiple array of instruments and combining support from the Government, as well as incentives for private developers for the first time in Mexico, </w:t>
      </w:r>
      <w:r w:rsidRPr="008F46C2">
        <w:rPr>
          <w:rFonts w:ascii="Times New Roman" w:hAnsi="Times New Roman" w:cs="Times New Roman"/>
          <w:b/>
        </w:rPr>
        <w:t xml:space="preserve">will trigger an increase in the participation of geothermal energy in the energy matrix. </w:t>
      </w:r>
    </w:p>
    <w:p w:rsidR="00B16D91" w:rsidRPr="008F46C2" w:rsidRDefault="00B16D91" w:rsidP="003A475D">
      <w:pPr>
        <w:autoSpaceDE w:val="0"/>
        <w:autoSpaceDN w:val="0"/>
        <w:adjustRightInd w:val="0"/>
        <w:rPr>
          <w:rFonts w:ascii="Times New Roman" w:hAnsi="Times New Roman" w:cs="Times New Roman"/>
        </w:rPr>
      </w:pPr>
      <w:r w:rsidRPr="008F46C2">
        <w:rPr>
          <w:rFonts w:ascii="Times New Roman" w:hAnsi="Times New Roman" w:cs="Times New Roman"/>
        </w:rPr>
        <w:t xml:space="preserve">The program also has </w:t>
      </w:r>
      <w:r w:rsidRPr="008F46C2">
        <w:rPr>
          <w:rFonts w:ascii="Times New Roman" w:hAnsi="Times New Roman" w:cs="Times New Roman"/>
          <w:b/>
        </w:rPr>
        <w:t>a multiplier effect,</w:t>
      </w:r>
      <w:r w:rsidRPr="008F46C2">
        <w:rPr>
          <w:rFonts w:ascii="Times New Roman" w:hAnsi="Times New Roman" w:cs="Times New Roman"/>
        </w:rPr>
        <w:t xml:space="preserve"> as it is designed to optimize the use of funding available in terms   of leverage and </w:t>
      </w:r>
      <w:r w:rsidRPr="00BF2321">
        <w:rPr>
          <w:rFonts w:ascii="Times New Roman" w:hAnsi="Times New Roman" w:cs="Times New Roman"/>
        </w:rPr>
        <w:t>sustainability</w:t>
      </w:r>
      <w:r w:rsidR="008149BD" w:rsidRPr="00BF2321">
        <w:rPr>
          <w:rFonts w:ascii="Times New Roman" w:hAnsi="Times New Roman" w:cs="Times New Roman"/>
        </w:rPr>
        <w:t xml:space="preserve"> investing grant resources only where</w:t>
      </w:r>
      <w:r w:rsidR="008149BD">
        <w:rPr>
          <w:rFonts w:ascii="Times New Roman" w:hAnsi="Times New Roman" w:cs="Times New Roman"/>
        </w:rPr>
        <w:t xml:space="preserve"> they are most efficient and where they leverage the most financing</w:t>
      </w:r>
      <w:r w:rsidRPr="008F46C2">
        <w:rPr>
          <w:rFonts w:ascii="Times New Roman" w:hAnsi="Times New Roman" w:cs="Times New Roman"/>
        </w:rPr>
        <w:t xml:space="preserve">. Continuing these efforts should allow for the development of a sustainable framework in the long term, after demonstration of the benefits of investing </w:t>
      </w:r>
      <w:r w:rsidR="008149BD">
        <w:rPr>
          <w:rFonts w:ascii="Times New Roman" w:hAnsi="Times New Roman" w:cs="Times New Roman"/>
        </w:rPr>
        <w:t xml:space="preserve">in geothermal with the support of risk mitigation instruments </w:t>
      </w:r>
      <w:r w:rsidRPr="008F46C2">
        <w:rPr>
          <w:rFonts w:ascii="Times New Roman" w:hAnsi="Times New Roman" w:cs="Times New Roman"/>
        </w:rPr>
        <w:t>has permeated the economy. Moreover, in the scenario where the insurance industry would evolve into building risk management instruments that make sense for geothermal technologies, the proposed program could contribute to improve data on historical loss patterns that could help facilitate the development of solutions for geothermal energy projects in the long term.</w:t>
      </w:r>
      <w:r w:rsidR="008149BD">
        <w:rPr>
          <w:rFonts w:ascii="Times New Roman" w:hAnsi="Times New Roman" w:cs="Times New Roman"/>
        </w:rPr>
        <w:t xml:space="preserve"> Finally, the regulatory reform to which the program contributes should also multiply geothermal investment as it removes the last roadblocks for developers.</w:t>
      </w:r>
      <w:r w:rsidR="003A475D">
        <w:rPr>
          <w:rFonts w:ascii="Times New Roman" w:hAnsi="Times New Roman" w:cs="Times New Roman"/>
        </w:rPr>
        <w:t xml:space="preserve"> </w:t>
      </w:r>
    </w:p>
    <w:p w:rsidR="00B16D91" w:rsidRPr="008F46C2" w:rsidRDefault="00B16D91" w:rsidP="00B16D91">
      <w:pPr>
        <w:autoSpaceDE w:val="0"/>
        <w:autoSpaceDN w:val="0"/>
        <w:adjustRightInd w:val="0"/>
        <w:rPr>
          <w:rFonts w:ascii="Times New Roman" w:hAnsi="Times New Roman" w:cs="Times New Roman"/>
        </w:rPr>
      </w:pPr>
      <w:r w:rsidRPr="008F46C2">
        <w:rPr>
          <w:rFonts w:ascii="Times New Roman" w:hAnsi="Times New Roman" w:cs="Times New Roman"/>
        </w:rPr>
        <w:t xml:space="preserve">If successful, the comprehensive intervention will be used as a model for additional projects in the Region and in other parts of the world. </w:t>
      </w:r>
      <w:r w:rsidR="00A361AF">
        <w:rPr>
          <w:rFonts w:ascii="Times New Roman" w:hAnsi="Times New Roman" w:cs="Times New Roman"/>
        </w:rPr>
        <w:t>The IDB is currently preparing two Geothermal Development Programs</w:t>
      </w:r>
      <w:r w:rsidR="00D824C8">
        <w:rPr>
          <w:rFonts w:ascii="Times New Roman" w:hAnsi="Times New Roman" w:cs="Times New Roman"/>
        </w:rPr>
        <w:t xml:space="preserve"> with CTF resources</w:t>
      </w:r>
      <w:r w:rsidR="00A361AF">
        <w:rPr>
          <w:rFonts w:ascii="Times New Roman" w:hAnsi="Times New Roman" w:cs="Times New Roman"/>
        </w:rPr>
        <w:t xml:space="preserve"> in Colombia and Chile, and the synergies will be sought and knowledge transfer will be guaranteed. In addition, t</w:t>
      </w:r>
      <w:r w:rsidRPr="008F46C2">
        <w:rPr>
          <w:rFonts w:ascii="Times New Roman" w:hAnsi="Times New Roman" w:cs="Times New Roman"/>
        </w:rPr>
        <w:t>he IDB is participating in the Geothermal Development Facility in Latin America (GDFLA), coordinated by KfW, which aims at supporting early exploration drilling in the Region. The Program</w:t>
      </w:r>
      <w:r w:rsidR="00A361AF">
        <w:rPr>
          <w:rFonts w:ascii="Times New Roman" w:hAnsi="Times New Roman" w:cs="Times New Roman"/>
        </w:rPr>
        <w:t>s</w:t>
      </w:r>
      <w:r w:rsidRPr="008F46C2">
        <w:rPr>
          <w:rFonts w:ascii="Times New Roman" w:hAnsi="Times New Roman" w:cs="Times New Roman"/>
        </w:rPr>
        <w:t xml:space="preserve"> in Mexico</w:t>
      </w:r>
      <w:r w:rsidR="00A361AF">
        <w:rPr>
          <w:rStyle w:val="FootnoteReference"/>
          <w:rFonts w:ascii="Times New Roman" w:hAnsi="Times New Roman" w:cs="Times New Roman"/>
        </w:rPr>
        <w:footnoteReference w:id="6"/>
      </w:r>
      <w:r w:rsidRPr="008F46C2">
        <w:rPr>
          <w:rFonts w:ascii="Times New Roman" w:hAnsi="Times New Roman" w:cs="Times New Roman"/>
        </w:rPr>
        <w:t xml:space="preserve"> will be an integral part of the facility and the experience will be transferred to the pipeline of projects under development.</w:t>
      </w:r>
      <w:r w:rsidR="0059152E">
        <w:rPr>
          <w:rFonts w:ascii="Times New Roman" w:hAnsi="Times New Roman" w:cs="Times New Roman"/>
        </w:rPr>
        <w:t xml:space="preserve"> </w:t>
      </w:r>
    </w:p>
    <w:p w:rsidR="00917E5E" w:rsidRDefault="00917E5E" w:rsidP="00B16D91">
      <w:pPr>
        <w:pStyle w:val="Heading2"/>
        <w:numPr>
          <w:ilvl w:val="0"/>
          <w:numId w:val="0"/>
        </w:numPr>
        <w:spacing w:before="0" w:after="0"/>
        <w:rPr>
          <w:rFonts w:ascii="Times New Roman" w:hAnsi="Times New Roman"/>
          <w:sz w:val="22"/>
          <w:szCs w:val="22"/>
        </w:rPr>
      </w:pPr>
    </w:p>
    <w:p w:rsidR="00B16D91" w:rsidRPr="008F46C2" w:rsidRDefault="00B16D91" w:rsidP="00B16D91">
      <w:pPr>
        <w:pStyle w:val="Heading2"/>
        <w:numPr>
          <w:ilvl w:val="0"/>
          <w:numId w:val="0"/>
        </w:numPr>
        <w:spacing w:before="0" w:after="0"/>
        <w:rPr>
          <w:rFonts w:ascii="Times New Roman" w:hAnsi="Times New Roman"/>
          <w:sz w:val="22"/>
          <w:szCs w:val="22"/>
        </w:rPr>
      </w:pPr>
      <w:r w:rsidRPr="008F46C2">
        <w:rPr>
          <w:rFonts w:ascii="Times New Roman" w:hAnsi="Times New Roman"/>
          <w:sz w:val="22"/>
          <w:szCs w:val="22"/>
        </w:rPr>
        <w:t>Development Impact</w:t>
      </w:r>
    </w:p>
    <w:p w:rsidR="00B16D91" w:rsidRPr="008F46C2" w:rsidRDefault="00B16D91" w:rsidP="00B16D91">
      <w:pPr>
        <w:pStyle w:val="Heading2"/>
        <w:numPr>
          <w:ilvl w:val="0"/>
          <w:numId w:val="0"/>
        </w:numPr>
        <w:spacing w:before="0" w:after="0"/>
        <w:jc w:val="both"/>
        <w:rPr>
          <w:rFonts w:ascii="Times New Roman" w:eastAsiaTheme="minorHAnsi" w:hAnsi="Times New Roman"/>
          <w:b w:val="0"/>
          <w:i w:val="0"/>
          <w:sz w:val="22"/>
          <w:szCs w:val="22"/>
        </w:rPr>
      </w:pPr>
      <w:r w:rsidRPr="008F46C2">
        <w:rPr>
          <w:rFonts w:ascii="Times New Roman" w:eastAsiaTheme="minorHAnsi" w:hAnsi="Times New Roman"/>
          <w:b w:val="0"/>
          <w:i w:val="0"/>
          <w:sz w:val="22"/>
          <w:szCs w:val="22"/>
        </w:rPr>
        <w:t>Geothermal energy offers one of the most effective renewable and low carbon alternatives for power generation. Furthermore, it is a power source that entails significant economic and social benefits, such as high quality employment creation and the potential to reduce the need to import gas. A recent study comparing jobs created in energy sectors states that geothermal energy supports and generates a significant number of jobs</w:t>
      </w:r>
      <w:r w:rsidRPr="008F46C2">
        <w:rPr>
          <w:rFonts w:ascii="Times New Roman" w:hAnsi="Times New Roman"/>
          <w:b w:val="0"/>
          <w:bCs/>
          <w:smallCaps/>
          <w:sz w:val="22"/>
          <w:szCs w:val="22"/>
        </w:rPr>
        <w:t xml:space="preserve"> </w:t>
      </w:r>
      <w:r w:rsidRPr="008F46C2">
        <w:rPr>
          <w:rFonts w:ascii="Times New Roman" w:eastAsiaTheme="minorHAnsi" w:hAnsi="Times New Roman"/>
          <w:b w:val="0"/>
          <w:i w:val="0"/>
          <w:sz w:val="22"/>
          <w:szCs w:val="22"/>
        </w:rPr>
        <w:t>when compared to other energy technologies. The construction of the plants is more labor intensive than comparable energy sources</w:t>
      </w:r>
      <w:r w:rsidR="00A361AF">
        <w:rPr>
          <w:rFonts w:ascii="Times New Roman" w:eastAsiaTheme="minorHAnsi" w:hAnsi="Times New Roman"/>
          <w:b w:val="0"/>
          <w:i w:val="0"/>
          <w:sz w:val="22"/>
          <w:szCs w:val="22"/>
        </w:rPr>
        <w:t xml:space="preserve"> (See Green Jobs through Geothermal Energy (GEA, 2010</w:t>
      </w:r>
      <w:r w:rsidR="00A361AF">
        <w:rPr>
          <w:rStyle w:val="FootnoteReference"/>
          <w:rFonts w:ascii="Times New Roman" w:eastAsiaTheme="minorHAnsi" w:hAnsi="Times New Roman"/>
          <w:b w:val="0"/>
          <w:i w:val="0"/>
          <w:sz w:val="22"/>
          <w:szCs w:val="22"/>
        </w:rPr>
        <w:footnoteReference w:id="7"/>
      </w:r>
      <w:r w:rsidR="00A361AF">
        <w:rPr>
          <w:rFonts w:ascii="Times New Roman" w:eastAsiaTheme="minorHAnsi" w:hAnsi="Times New Roman"/>
          <w:b w:val="0"/>
          <w:i w:val="0"/>
          <w:sz w:val="22"/>
          <w:szCs w:val="22"/>
        </w:rPr>
        <w:t>)</w:t>
      </w:r>
      <w:r w:rsidRPr="008F46C2">
        <w:rPr>
          <w:rFonts w:ascii="Times New Roman" w:eastAsiaTheme="minorHAnsi" w:hAnsi="Times New Roman"/>
          <w:b w:val="0"/>
          <w:i w:val="0"/>
          <w:sz w:val="22"/>
          <w:szCs w:val="22"/>
        </w:rPr>
        <w:t xml:space="preserve"> </w:t>
      </w:r>
      <w:r w:rsidRPr="008F46C2">
        <w:rPr>
          <w:rFonts w:ascii="Times New Roman" w:hAnsi="Times New Roman"/>
          <w:b w:val="0"/>
          <w:bCs/>
          <w:smallCaps/>
          <w:sz w:val="22"/>
          <w:szCs w:val="22"/>
        </w:rPr>
        <w:t>(</w:t>
      </w:r>
      <w:r w:rsidRPr="008F46C2">
        <w:rPr>
          <w:rFonts w:ascii="Times New Roman" w:eastAsiaTheme="minorHAnsi" w:hAnsi="Times New Roman"/>
          <w:b w:val="0"/>
          <w:i w:val="0"/>
          <w:sz w:val="22"/>
          <w:szCs w:val="22"/>
        </w:rPr>
        <w:t>resulting in benefits for local population. From an energy and environmental perspective, the expansion of geothermal in Mexico is fully justified.</w:t>
      </w:r>
    </w:p>
    <w:p w:rsidR="00B16D91" w:rsidRPr="008F46C2" w:rsidRDefault="00B16D91" w:rsidP="00B16D91">
      <w:pPr>
        <w:pStyle w:val="Paragraph"/>
        <w:numPr>
          <w:ilvl w:val="0"/>
          <w:numId w:val="0"/>
        </w:numPr>
        <w:spacing w:before="0" w:after="0"/>
        <w:ind w:left="810" w:hanging="720"/>
        <w:rPr>
          <w:sz w:val="22"/>
          <w:szCs w:val="22"/>
          <w:lang w:bidi="en-US"/>
        </w:rPr>
      </w:pPr>
    </w:p>
    <w:p w:rsidR="00B16D91" w:rsidRPr="008F46C2" w:rsidRDefault="00B16D91" w:rsidP="00B16D91">
      <w:pPr>
        <w:pStyle w:val="Paragraph"/>
        <w:numPr>
          <w:ilvl w:val="0"/>
          <w:numId w:val="0"/>
        </w:numPr>
        <w:spacing w:before="0" w:after="0"/>
        <w:ind w:left="720" w:hanging="720"/>
        <w:rPr>
          <w:sz w:val="22"/>
          <w:szCs w:val="22"/>
          <w:lang w:bidi="en-US"/>
        </w:rPr>
      </w:pPr>
      <w:r w:rsidRPr="008F46C2">
        <w:rPr>
          <w:sz w:val="22"/>
          <w:szCs w:val="22"/>
          <w:lang w:bidi="en-US"/>
        </w:rPr>
        <w:t>Developing additional 300 MW have positive impacts on economic and social terms</w:t>
      </w:r>
      <w:r w:rsidRPr="008F46C2">
        <w:rPr>
          <w:sz w:val="22"/>
          <w:szCs w:val="22"/>
          <w:vertAlign w:val="superscript"/>
          <w:lang w:bidi="en-US"/>
        </w:rPr>
        <w:footnoteReference w:id="8"/>
      </w:r>
      <w:r w:rsidRPr="008F46C2">
        <w:rPr>
          <w:sz w:val="22"/>
          <w:szCs w:val="22"/>
          <w:lang w:bidi="en-US"/>
        </w:rPr>
        <w:t xml:space="preserve">: </w:t>
      </w:r>
    </w:p>
    <w:p w:rsidR="00B16D91" w:rsidRPr="0059152E" w:rsidRDefault="00B16D91" w:rsidP="00B16D91">
      <w:pPr>
        <w:pStyle w:val="Paragraph"/>
        <w:numPr>
          <w:ilvl w:val="1"/>
          <w:numId w:val="3"/>
        </w:numPr>
        <w:spacing w:before="0" w:after="0"/>
        <w:rPr>
          <w:sz w:val="22"/>
          <w:szCs w:val="22"/>
        </w:rPr>
      </w:pPr>
      <w:r w:rsidRPr="0059152E">
        <w:rPr>
          <w:sz w:val="22"/>
          <w:szCs w:val="22"/>
        </w:rPr>
        <w:t>It would impact the GDP an equivalent to 0.10% of the 2011 GDP.</w:t>
      </w:r>
    </w:p>
    <w:p w:rsidR="00B16D91" w:rsidRPr="0059152E" w:rsidRDefault="00B16D91" w:rsidP="00B16D91">
      <w:pPr>
        <w:pStyle w:val="Paragraph"/>
        <w:numPr>
          <w:ilvl w:val="1"/>
          <w:numId w:val="3"/>
        </w:numPr>
        <w:spacing w:before="0" w:after="0"/>
        <w:rPr>
          <w:sz w:val="22"/>
          <w:szCs w:val="22"/>
        </w:rPr>
      </w:pPr>
      <w:r w:rsidRPr="0059152E">
        <w:rPr>
          <w:sz w:val="22"/>
          <w:szCs w:val="22"/>
        </w:rPr>
        <w:t>Generate more than 5.400 jobs.</w:t>
      </w:r>
    </w:p>
    <w:p w:rsidR="00B16D91" w:rsidRPr="008F46C2" w:rsidRDefault="00B16D91" w:rsidP="00B16D91">
      <w:pPr>
        <w:pStyle w:val="Paragraph"/>
        <w:numPr>
          <w:ilvl w:val="1"/>
          <w:numId w:val="3"/>
        </w:numPr>
        <w:spacing w:before="0" w:after="0"/>
        <w:rPr>
          <w:sz w:val="22"/>
          <w:szCs w:val="22"/>
        </w:rPr>
      </w:pPr>
      <w:r w:rsidRPr="008F46C2">
        <w:rPr>
          <w:sz w:val="22"/>
          <w:szCs w:val="22"/>
        </w:rPr>
        <w:lastRenderedPageBreak/>
        <w:t>It would increment the security of supply by reducing a 2% of the imports of natural gas in 2020.</w:t>
      </w:r>
    </w:p>
    <w:p w:rsidR="00B16D91" w:rsidRPr="008F46C2" w:rsidRDefault="00B16D91" w:rsidP="00B16D91">
      <w:pPr>
        <w:pStyle w:val="Heading2"/>
        <w:numPr>
          <w:ilvl w:val="0"/>
          <w:numId w:val="0"/>
        </w:numPr>
        <w:spacing w:before="0" w:after="0"/>
        <w:rPr>
          <w:rFonts w:ascii="Times New Roman" w:hAnsi="Times New Roman"/>
          <w:sz w:val="22"/>
          <w:szCs w:val="22"/>
        </w:rPr>
      </w:pPr>
    </w:p>
    <w:p w:rsidR="00B16D91" w:rsidRPr="008F46C2" w:rsidRDefault="00B16D91" w:rsidP="00B16D91">
      <w:pPr>
        <w:pStyle w:val="Heading2"/>
        <w:numPr>
          <w:ilvl w:val="0"/>
          <w:numId w:val="0"/>
        </w:numPr>
        <w:spacing w:before="0" w:after="0"/>
        <w:rPr>
          <w:rFonts w:ascii="Times New Roman" w:hAnsi="Times New Roman"/>
          <w:sz w:val="22"/>
          <w:szCs w:val="22"/>
        </w:rPr>
      </w:pPr>
      <w:r w:rsidRPr="008F46C2">
        <w:rPr>
          <w:rFonts w:ascii="Times New Roman" w:hAnsi="Times New Roman"/>
          <w:sz w:val="22"/>
          <w:szCs w:val="22"/>
        </w:rPr>
        <w:t>Implementation Potential</w:t>
      </w:r>
    </w:p>
    <w:p w:rsidR="00BC51F5" w:rsidRDefault="00BC51F5" w:rsidP="00B16D91">
      <w:pPr>
        <w:autoSpaceDE w:val="0"/>
        <w:autoSpaceDN w:val="0"/>
        <w:adjustRightInd w:val="0"/>
        <w:rPr>
          <w:rFonts w:ascii="Times New Roman" w:hAnsi="Times New Roman" w:cs="Times New Roman"/>
          <w:lang w:eastAsia="es-ES"/>
        </w:rPr>
      </w:pPr>
    </w:p>
    <w:p w:rsidR="00437A71" w:rsidRDefault="00BC51F5" w:rsidP="00B16D91">
      <w:pPr>
        <w:autoSpaceDE w:val="0"/>
        <w:autoSpaceDN w:val="0"/>
        <w:adjustRightInd w:val="0"/>
        <w:rPr>
          <w:rFonts w:ascii="Times New Roman" w:hAnsi="Times New Roman" w:cs="Times New Roman"/>
          <w:lang w:eastAsia="es-ES"/>
        </w:rPr>
      </w:pPr>
      <w:r w:rsidRPr="00BC51F5">
        <w:rPr>
          <w:rFonts w:ascii="Times New Roman" w:hAnsi="Times New Roman" w:cs="Times New Roman"/>
          <w:lang w:eastAsia="es-ES"/>
        </w:rPr>
        <w:t xml:space="preserve">In the last decade, Mexico has </w:t>
      </w:r>
      <w:r w:rsidR="00437A71">
        <w:rPr>
          <w:rFonts w:ascii="Times New Roman" w:hAnsi="Times New Roman" w:cs="Times New Roman"/>
          <w:lang w:eastAsia="es-ES"/>
        </w:rPr>
        <w:t xml:space="preserve">successfully </w:t>
      </w:r>
      <w:r w:rsidRPr="00BC51F5">
        <w:rPr>
          <w:rFonts w:ascii="Times New Roman" w:hAnsi="Times New Roman" w:cs="Times New Roman"/>
          <w:lang w:eastAsia="es-ES"/>
        </w:rPr>
        <w:t>promoted Renewable Energy (RE) in power generation through tenders for projects of Independent Power Production (IPP) and favorable regulations for self-supply and cogeneration projects</w:t>
      </w:r>
      <w:r w:rsidR="00317969">
        <w:rPr>
          <w:rStyle w:val="FootnoteReference"/>
          <w:rFonts w:ascii="Times New Roman" w:hAnsi="Times New Roman" w:cs="Times New Roman"/>
          <w:lang w:eastAsia="es-ES"/>
        </w:rPr>
        <w:footnoteReference w:id="9"/>
      </w:r>
      <w:r w:rsidRPr="00BC51F5">
        <w:rPr>
          <w:rFonts w:ascii="Times New Roman" w:hAnsi="Times New Roman" w:cs="Times New Roman"/>
          <w:lang w:eastAsia="es-ES"/>
        </w:rPr>
        <w:t xml:space="preserve"> . </w:t>
      </w:r>
      <w:r w:rsidR="00437A71">
        <w:rPr>
          <w:rFonts w:ascii="Times New Roman" w:hAnsi="Times New Roman" w:cs="Times New Roman"/>
          <w:lang w:eastAsia="es-ES"/>
        </w:rPr>
        <w:t xml:space="preserve"> </w:t>
      </w:r>
    </w:p>
    <w:p w:rsidR="001031A3" w:rsidRDefault="001031A3" w:rsidP="00B16D91">
      <w:pPr>
        <w:autoSpaceDE w:val="0"/>
        <w:autoSpaceDN w:val="0"/>
        <w:adjustRightInd w:val="0"/>
        <w:rPr>
          <w:rFonts w:ascii="Times New Roman" w:hAnsi="Times New Roman" w:cs="Times New Roman"/>
          <w:lang w:eastAsia="es-ES"/>
        </w:rPr>
      </w:pPr>
      <w:r w:rsidRPr="0059152E">
        <w:rPr>
          <w:rFonts w:ascii="Times New Roman" w:hAnsi="Times New Roman" w:cs="Times New Roman"/>
          <w:lang w:eastAsia="es-ES"/>
        </w:rPr>
        <w:t xml:space="preserve">The </w:t>
      </w:r>
      <w:r>
        <w:rPr>
          <w:rFonts w:ascii="Times New Roman" w:hAnsi="Times New Roman" w:cs="Times New Roman"/>
          <w:lang w:eastAsia="es-ES"/>
        </w:rPr>
        <w:t>Energy Reform (</w:t>
      </w:r>
      <w:r w:rsidR="00005E09">
        <w:rPr>
          <w:rFonts w:ascii="Times New Roman" w:hAnsi="Times New Roman" w:cs="Times New Roman"/>
          <w:lang w:eastAsia="es-ES"/>
        </w:rPr>
        <w:t xml:space="preserve">whose general guidelines were approved in </w:t>
      </w:r>
      <w:r>
        <w:rPr>
          <w:rFonts w:ascii="Times New Roman" w:hAnsi="Times New Roman" w:cs="Times New Roman"/>
          <w:lang w:eastAsia="es-ES"/>
        </w:rPr>
        <w:t xml:space="preserve">December 2013) will further improve the framework for renewable energy generation, as it has among its objectives </w:t>
      </w:r>
      <w:r w:rsidRPr="008F46C2">
        <w:rPr>
          <w:rFonts w:ascii="Times New Roman" w:hAnsi="Times New Roman" w:cs="Times New Roman"/>
        </w:rPr>
        <w:t>the expansion of clean technologies, the development of new infrastructure and the strengthening of the regulation to create security for investors</w:t>
      </w:r>
      <w:r w:rsidRPr="008F46C2">
        <w:rPr>
          <w:rStyle w:val="FootnoteReference"/>
          <w:rFonts w:ascii="Times New Roman" w:hAnsi="Times New Roman" w:cs="Times New Roman"/>
        </w:rPr>
        <w:footnoteReference w:id="10"/>
      </w:r>
      <w:r w:rsidR="00790AB4">
        <w:rPr>
          <w:rFonts w:ascii="Times New Roman" w:hAnsi="Times New Roman" w:cs="Times New Roman"/>
        </w:rPr>
        <w:t xml:space="preserve">, </w:t>
      </w:r>
      <w:r w:rsidR="00703FB8">
        <w:rPr>
          <w:rFonts w:ascii="Times New Roman" w:hAnsi="Times New Roman" w:cs="Times New Roman"/>
        </w:rPr>
        <w:t>as well as the creation of new market mechanisms</w:t>
      </w:r>
      <w:r w:rsidRPr="008F46C2">
        <w:rPr>
          <w:rFonts w:ascii="Times New Roman" w:hAnsi="Times New Roman" w:cs="Times New Roman"/>
        </w:rPr>
        <w:t xml:space="preserve">. </w:t>
      </w:r>
      <w:r>
        <w:rPr>
          <w:rFonts w:ascii="Times New Roman" w:hAnsi="Times New Roman" w:cs="Times New Roman"/>
          <w:lang w:eastAsia="es-ES"/>
        </w:rPr>
        <w:t xml:space="preserve"> </w:t>
      </w:r>
    </w:p>
    <w:p w:rsidR="00703FB8" w:rsidRDefault="00703FB8" w:rsidP="00B16D91">
      <w:pPr>
        <w:autoSpaceDE w:val="0"/>
        <w:autoSpaceDN w:val="0"/>
        <w:adjustRightInd w:val="0"/>
        <w:rPr>
          <w:rFonts w:ascii="Times New Roman" w:hAnsi="Times New Roman" w:cs="Times New Roman"/>
          <w:lang w:eastAsia="es-ES"/>
        </w:rPr>
      </w:pPr>
    </w:p>
    <w:p w:rsidR="00B16D91" w:rsidRPr="008F46C2" w:rsidRDefault="00703FB8" w:rsidP="00B16D91">
      <w:pPr>
        <w:autoSpaceDE w:val="0"/>
        <w:autoSpaceDN w:val="0"/>
        <w:adjustRightInd w:val="0"/>
        <w:rPr>
          <w:rFonts w:ascii="Times New Roman" w:hAnsi="Times New Roman" w:cs="Times New Roman"/>
        </w:rPr>
      </w:pPr>
      <w:r>
        <w:rPr>
          <w:rFonts w:ascii="Times New Roman" w:hAnsi="Times New Roman" w:cs="Times New Roman"/>
          <w:lang w:eastAsia="es-ES"/>
        </w:rPr>
        <w:t xml:space="preserve">Currently, it is the water resource regulations which govern access to geothermal resources. </w:t>
      </w:r>
      <w:r w:rsidRPr="00BC51F5">
        <w:rPr>
          <w:rFonts w:ascii="Times New Roman" w:hAnsi="Times New Roman" w:cs="Times New Roman"/>
          <w:lang w:eastAsia="es-ES"/>
        </w:rPr>
        <w:t xml:space="preserve">However, defined </w:t>
      </w:r>
      <w:r w:rsidRPr="00790AB4">
        <w:rPr>
          <w:rFonts w:ascii="Times New Roman" w:hAnsi="Times New Roman" w:cs="Times New Roman"/>
          <w:b/>
          <w:lang w:eastAsia="es-ES"/>
        </w:rPr>
        <w:t>concession areas for geothermal –which would avert the risk of free riders exploiting the same area– do not yet exist.</w:t>
      </w:r>
      <w:r w:rsidRPr="00BC51F5">
        <w:rPr>
          <w:rFonts w:ascii="Times New Roman" w:hAnsi="Times New Roman" w:cs="Times New Roman"/>
          <w:lang w:eastAsia="es-ES"/>
        </w:rPr>
        <w:t xml:space="preserve"> </w:t>
      </w:r>
      <w:r>
        <w:rPr>
          <w:rFonts w:ascii="Times New Roman" w:hAnsi="Times New Roman" w:cs="Times New Roman"/>
          <w:lang w:eastAsia="es-ES"/>
        </w:rPr>
        <w:t xml:space="preserve">In order to </w:t>
      </w:r>
      <w:r w:rsidR="00FC3DA3">
        <w:rPr>
          <w:rFonts w:ascii="Times New Roman" w:hAnsi="Times New Roman" w:cs="Times New Roman"/>
          <w:lang w:eastAsia="es-ES"/>
        </w:rPr>
        <w:t xml:space="preserve">address </w:t>
      </w:r>
      <w:r>
        <w:rPr>
          <w:rFonts w:ascii="Times New Roman" w:hAnsi="Times New Roman" w:cs="Times New Roman"/>
          <w:lang w:eastAsia="es-ES"/>
        </w:rPr>
        <w:t xml:space="preserve">this problem, the </w:t>
      </w:r>
      <w:r w:rsidR="00FC3DA3">
        <w:rPr>
          <w:rFonts w:ascii="Times New Roman" w:hAnsi="Times New Roman" w:cs="Times New Roman"/>
          <w:lang w:eastAsia="es-ES"/>
        </w:rPr>
        <w:t xml:space="preserve">Mexican </w:t>
      </w:r>
      <w:r>
        <w:rPr>
          <w:rFonts w:ascii="Times New Roman" w:hAnsi="Times New Roman" w:cs="Times New Roman"/>
          <w:lang w:eastAsia="es-ES"/>
        </w:rPr>
        <w:t xml:space="preserve">Congress announced in the Energy reform the </w:t>
      </w:r>
      <w:r w:rsidRPr="00790AB4">
        <w:rPr>
          <w:rFonts w:ascii="Times New Roman" w:hAnsi="Times New Roman" w:cs="Times New Roman"/>
          <w:b/>
          <w:lang w:eastAsia="es-ES"/>
        </w:rPr>
        <w:t xml:space="preserve">development of a </w:t>
      </w:r>
      <w:r w:rsidR="00BC51F5" w:rsidRPr="00790AB4">
        <w:rPr>
          <w:rFonts w:ascii="Times New Roman" w:hAnsi="Times New Roman" w:cs="Times New Roman"/>
          <w:b/>
          <w:lang w:eastAsia="es-ES"/>
        </w:rPr>
        <w:t>concessional regime</w:t>
      </w:r>
      <w:r w:rsidR="00BC51F5" w:rsidRPr="00BC51F5">
        <w:rPr>
          <w:rFonts w:ascii="Times New Roman" w:hAnsi="Times New Roman" w:cs="Times New Roman"/>
          <w:lang w:eastAsia="es-ES"/>
        </w:rPr>
        <w:t xml:space="preserve"> </w:t>
      </w:r>
      <w:r>
        <w:rPr>
          <w:rFonts w:ascii="Times New Roman" w:hAnsi="Times New Roman" w:cs="Times New Roman"/>
          <w:lang w:eastAsia="es-ES"/>
        </w:rPr>
        <w:t>to be mandated</w:t>
      </w:r>
      <w:r w:rsidR="00BC51F5" w:rsidRPr="00BC51F5">
        <w:rPr>
          <w:rFonts w:ascii="Times New Roman" w:hAnsi="Times New Roman" w:cs="Times New Roman"/>
          <w:lang w:eastAsia="es-ES"/>
        </w:rPr>
        <w:t xml:space="preserve"> by Law within the month of April 2014</w:t>
      </w:r>
      <w:r w:rsidR="00BC51F5">
        <w:rPr>
          <w:rStyle w:val="FootnoteReference"/>
          <w:rFonts w:ascii="Times New Roman" w:hAnsi="Times New Roman" w:cs="Times New Roman"/>
          <w:lang w:eastAsia="es-ES"/>
        </w:rPr>
        <w:footnoteReference w:id="11"/>
      </w:r>
      <w:r w:rsidR="00BC51F5" w:rsidRPr="00BC51F5">
        <w:rPr>
          <w:rFonts w:ascii="Times New Roman" w:hAnsi="Times New Roman" w:cs="Times New Roman"/>
          <w:lang w:eastAsia="es-ES"/>
        </w:rPr>
        <w:t xml:space="preserve"> according to the calendar envisaged, giving greater certainty to both investors and financiers</w:t>
      </w:r>
      <w:r w:rsidR="00BC51F5" w:rsidRPr="008F46C2">
        <w:rPr>
          <w:rStyle w:val="FootnoteReference"/>
          <w:rFonts w:ascii="Times New Roman" w:hAnsi="Times New Roman" w:cs="Times New Roman"/>
        </w:rPr>
        <w:footnoteReference w:id="12"/>
      </w:r>
      <w:r w:rsidR="00BC51F5" w:rsidRPr="00BC51F5">
        <w:rPr>
          <w:rFonts w:ascii="Times New Roman" w:hAnsi="Times New Roman" w:cs="Times New Roman"/>
          <w:lang w:eastAsia="es-ES"/>
        </w:rPr>
        <w:t>.</w:t>
      </w:r>
      <w:r w:rsidR="00B16D91" w:rsidRPr="008F46C2">
        <w:rPr>
          <w:rFonts w:ascii="Times New Roman" w:hAnsi="Times New Roman" w:cs="Times New Roman"/>
          <w:lang w:eastAsia="es-ES"/>
        </w:rPr>
        <w:t xml:space="preserve"> </w:t>
      </w:r>
    </w:p>
    <w:p w:rsidR="00B16D91" w:rsidRPr="008F46C2" w:rsidRDefault="00B16D91" w:rsidP="00B16D91">
      <w:pPr>
        <w:rPr>
          <w:rFonts w:ascii="Times New Roman" w:hAnsi="Times New Roman" w:cs="Times New Roman"/>
        </w:rPr>
      </w:pPr>
    </w:p>
    <w:p w:rsidR="00B16D91" w:rsidRPr="008F46C2" w:rsidRDefault="00B16D91" w:rsidP="00B16D91">
      <w:pPr>
        <w:rPr>
          <w:rFonts w:ascii="Times New Roman" w:hAnsi="Times New Roman" w:cs="Times New Roman"/>
        </w:rPr>
      </w:pPr>
      <w:r w:rsidRPr="008F46C2">
        <w:rPr>
          <w:rFonts w:ascii="Times New Roman" w:hAnsi="Times New Roman" w:cs="Times New Roman"/>
          <w:b/>
        </w:rPr>
        <w:t>SENER has strongly supported the design and preparation of the project and has taken geothermal development as a priority in the new administration</w:t>
      </w:r>
      <w:r w:rsidRPr="008F46C2">
        <w:rPr>
          <w:rFonts w:ascii="Times New Roman" w:hAnsi="Times New Roman" w:cs="Times New Roman"/>
        </w:rPr>
        <w:t>, as shown in the Geothermal Energy Forum organized in October in Mexico City, together with the IDB</w:t>
      </w:r>
      <w:r w:rsidR="00005E09">
        <w:rPr>
          <w:rFonts w:ascii="Times New Roman" w:hAnsi="Times New Roman" w:cs="Times New Roman"/>
        </w:rPr>
        <w:t xml:space="preserve">, </w:t>
      </w:r>
      <w:r w:rsidRPr="008F46C2">
        <w:rPr>
          <w:rFonts w:ascii="Times New Roman" w:hAnsi="Times New Roman" w:cs="Times New Roman"/>
        </w:rPr>
        <w:t xml:space="preserve">the World Bank and other organizations. </w:t>
      </w:r>
    </w:p>
    <w:p w:rsidR="00971DFB" w:rsidRDefault="00971DFB" w:rsidP="00B16D91">
      <w:pPr>
        <w:autoSpaceDE w:val="0"/>
        <w:autoSpaceDN w:val="0"/>
        <w:adjustRightInd w:val="0"/>
        <w:rPr>
          <w:rFonts w:ascii="Times New Roman" w:hAnsi="Times New Roman" w:cs="Times New Roman"/>
        </w:rPr>
      </w:pPr>
    </w:p>
    <w:p w:rsidR="00005E09" w:rsidRDefault="00005E09" w:rsidP="00005E09">
      <w:pPr>
        <w:autoSpaceDE w:val="0"/>
        <w:autoSpaceDN w:val="0"/>
        <w:adjustRightInd w:val="0"/>
        <w:rPr>
          <w:rFonts w:ascii="Times New Roman" w:hAnsi="Times New Roman" w:cs="Times New Roman"/>
          <w:lang w:eastAsia="es-ES"/>
        </w:rPr>
      </w:pPr>
      <w:r w:rsidRPr="0059152E">
        <w:rPr>
          <w:rFonts w:ascii="Times New Roman" w:hAnsi="Times New Roman" w:cs="Times New Roman"/>
          <w:lang w:eastAsia="es-ES"/>
        </w:rPr>
        <w:t xml:space="preserve">The government has made progress in the promotion of technology development and has announced the creation of a Center of Excellence on Geothermal, </w:t>
      </w:r>
      <w:r>
        <w:rPr>
          <w:rFonts w:ascii="Times New Roman" w:hAnsi="Times New Roman" w:cs="Times New Roman"/>
          <w:lang w:eastAsia="es-ES"/>
        </w:rPr>
        <w:t xml:space="preserve">endowed </w:t>
      </w:r>
      <w:r w:rsidRPr="0059152E">
        <w:rPr>
          <w:rFonts w:ascii="Times New Roman" w:hAnsi="Times New Roman" w:cs="Times New Roman"/>
          <w:lang w:eastAsia="es-ES"/>
        </w:rPr>
        <w:t>with an estimated budget of USD77 million</w:t>
      </w:r>
      <w:r w:rsidRPr="0059152E">
        <w:rPr>
          <w:rStyle w:val="FootnoteReference"/>
          <w:rFonts w:ascii="Times New Roman" w:hAnsi="Times New Roman" w:cs="Times New Roman"/>
          <w:lang w:eastAsia="es-ES"/>
        </w:rPr>
        <w:footnoteReference w:id="13"/>
      </w:r>
      <w:r w:rsidRPr="0059152E">
        <w:rPr>
          <w:rFonts w:ascii="Times New Roman" w:hAnsi="Times New Roman" w:cs="Times New Roman"/>
          <w:lang w:eastAsia="es-ES"/>
        </w:rPr>
        <w:t xml:space="preserve">. </w:t>
      </w:r>
    </w:p>
    <w:p w:rsidR="00005E09" w:rsidRPr="0059152E" w:rsidRDefault="00005E09" w:rsidP="00005E09">
      <w:pPr>
        <w:autoSpaceDE w:val="0"/>
        <w:autoSpaceDN w:val="0"/>
        <w:adjustRightInd w:val="0"/>
        <w:rPr>
          <w:rFonts w:ascii="Times New Roman" w:hAnsi="Times New Roman" w:cs="Times New Roman"/>
          <w:lang w:eastAsia="es-ES"/>
        </w:rPr>
      </w:pPr>
    </w:p>
    <w:p w:rsidR="00B16D91" w:rsidRPr="008F46C2" w:rsidRDefault="00B16D91" w:rsidP="00B16D91">
      <w:pPr>
        <w:autoSpaceDE w:val="0"/>
        <w:autoSpaceDN w:val="0"/>
        <w:adjustRightInd w:val="0"/>
        <w:rPr>
          <w:rFonts w:ascii="Times New Roman" w:hAnsi="Times New Roman" w:cs="Times New Roman"/>
        </w:rPr>
      </w:pPr>
      <w:r w:rsidRPr="008F46C2">
        <w:rPr>
          <w:rFonts w:ascii="Times New Roman" w:hAnsi="Times New Roman" w:cs="Times New Roman"/>
        </w:rPr>
        <w:t>The borrower and executing agency for the program, Nacional Financiera, S.N.C. (NAFIN), is a national credit institution established to promote savings and investment and to channel financial and technical support for Mexico’s industrial and economic development. NAFIN’s corporate goals and mandate include supporting projects related to the use of clean and efficient energy. In this sense, NAFIN has been working on: i) the development of a portfolio of eligible projects, ii) improving their technical, financial and environmental capabilities, in both the energy and infrastructure sectors and with IDB support , and iii) strengthening their network of intermediaries with capacity to channel funding to high risk projects.</w:t>
      </w:r>
    </w:p>
    <w:p w:rsidR="00806DAE" w:rsidRDefault="00806DAE" w:rsidP="00B16D91">
      <w:pPr>
        <w:autoSpaceDE w:val="0"/>
        <w:autoSpaceDN w:val="0"/>
        <w:adjustRightInd w:val="0"/>
        <w:rPr>
          <w:rFonts w:ascii="Times New Roman" w:hAnsi="Times New Roman" w:cs="Times New Roman"/>
          <w:b/>
        </w:rPr>
      </w:pPr>
    </w:p>
    <w:p w:rsidR="00806DAE" w:rsidRDefault="00B16D91" w:rsidP="00806DAE">
      <w:pPr>
        <w:rPr>
          <w:rFonts w:ascii="Times New Roman" w:hAnsi="Times New Roman" w:cs="Times New Roman"/>
        </w:rPr>
      </w:pPr>
      <w:r w:rsidRPr="008F46C2">
        <w:rPr>
          <w:rFonts w:ascii="Times New Roman" w:hAnsi="Times New Roman" w:cs="Times New Roman"/>
          <w:b/>
        </w:rPr>
        <w:t xml:space="preserve">NAFIN is a solvent institution with exemplary risk management practices and the full backing of the Mexican government. NAFIN also has an excellent record of cooperation with the IDB, </w:t>
      </w:r>
      <w:r w:rsidRPr="008F46C2">
        <w:rPr>
          <w:rFonts w:ascii="Times New Roman" w:hAnsi="Times New Roman" w:cs="Times New Roman"/>
          <w:b/>
        </w:rPr>
        <w:lastRenderedPageBreak/>
        <w:t>contributing actively to the country program of the IDB with Mexico</w:t>
      </w:r>
      <w:r w:rsidRPr="00D824C8">
        <w:rPr>
          <w:rFonts w:ascii="Times New Roman" w:hAnsi="Times New Roman" w:cs="Times New Roman"/>
          <w:b/>
        </w:rPr>
        <w:t>.</w:t>
      </w:r>
      <w:r w:rsidRPr="00D824C8">
        <w:rPr>
          <w:rFonts w:ascii="Times New Roman" w:hAnsi="Times New Roman" w:cs="Times New Roman"/>
        </w:rPr>
        <w:t xml:space="preserve"> So far, NAFIN has </w:t>
      </w:r>
      <w:r w:rsidR="00005E09" w:rsidRPr="00D824C8">
        <w:rPr>
          <w:rFonts w:ascii="Times New Roman" w:hAnsi="Times New Roman" w:cs="Times New Roman"/>
        </w:rPr>
        <w:t xml:space="preserve">cofinanced </w:t>
      </w:r>
      <w:r w:rsidRPr="00D824C8">
        <w:rPr>
          <w:rFonts w:ascii="Times New Roman" w:hAnsi="Times New Roman" w:cs="Times New Roman"/>
        </w:rPr>
        <w:t xml:space="preserve"> </w:t>
      </w:r>
      <w:r w:rsidR="00005E09" w:rsidRPr="00D824C8">
        <w:rPr>
          <w:rFonts w:ascii="Times New Roman" w:hAnsi="Times New Roman" w:cs="Times New Roman"/>
        </w:rPr>
        <w:t xml:space="preserve">approximately USD400 million and managed more than USD3,000 million in total financing of renewable energy projects, </w:t>
      </w:r>
      <w:r w:rsidRPr="00D824C8">
        <w:rPr>
          <w:rFonts w:ascii="Times New Roman" w:hAnsi="Times New Roman" w:cs="Times New Roman"/>
        </w:rPr>
        <w:t>proving to be an executor with extensive experience in the management of resources to support private sector projects focused on energy efficiency, energy generation from renewable sources and, in general, to promote sustainable development.</w:t>
      </w:r>
      <w:r w:rsidR="00806DAE" w:rsidRPr="00806DAE">
        <w:rPr>
          <w:rFonts w:ascii="Times New Roman" w:hAnsi="Times New Roman" w:cs="Times New Roman"/>
        </w:rPr>
        <w:t xml:space="preserve"> </w:t>
      </w:r>
    </w:p>
    <w:p w:rsidR="00806DAE" w:rsidRPr="008F46C2" w:rsidRDefault="00806DAE" w:rsidP="00806DAE">
      <w:pPr>
        <w:pStyle w:val="Numberedparagraph"/>
        <w:numPr>
          <w:ilvl w:val="1"/>
          <w:numId w:val="0"/>
        </w:numPr>
        <w:tabs>
          <w:tab w:val="num" w:pos="576"/>
        </w:tabs>
        <w:spacing w:before="0"/>
        <w:rPr>
          <w:szCs w:val="22"/>
        </w:rPr>
      </w:pPr>
      <w:r w:rsidRPr="008F46C2">
        <w:rPr>
          <w:szCs w:val="22"/>
        </w:rPr>
        <w:t>Regarding the evaluation of the technical proposals, the Program includes support to NAFIN to (i) define the technical documentation required to conduct due diligence ; (ii) perform technical due diligence of evaluating the quality geothermal projects geothermal-consistency model and the technical feasibility of the proposed project  and (iii) analyze the drilling program indicating whether (1) the procedures for drilling and safety systems are implemented to achieve the correct safety requirements and environmental protection, (2) the specific objectives, the minimum expectations and expected outcomes geothermal are consistent with the proposed preliminary geothermal model.</w:t>
      </w:r>
      <w:r w:rsidR="00971DFB">
        <w:rPr>
          <w:szCs w:val="22"/>
        </w:rPr>
        <w:t xml:space="preserve"> </w:t>
      </w:r>
    </w:p>
    <w:p w:rsidR="00806DAE" w:rsidRDefault="00806DAE" w:rsidP="00B16D91">
      <w:pPr>
        <w:autoSpaceDE w:val="0"/>
        <w:autoSpaceDN w:val="0"/>
        <w:adjustRightInd w:val="0"/>
        <w:rPr>
          <w:rFonts w:ascii="Times New Roman" w:hAnsi="Times New Roman" w:cs="Times New Roman"/>
        </w:rPr>
      </w:pPr>
    </w:p>
    <w:p w:rsidR="00B16D91" w:rsidRPr="00917E5E" w:rsidRDefault="007E27B8" w:rsidP="00B16D91">
      <w:pPr>
        <w:autoSpaceDE w:val="0"/>
        <w:autoSpaceDN w:val="0"/>
        <w:adjustRightInd w:val="0"/>
        <w:rPr>
          <w:rFonts w:ascii="Times New Roman" w:hAnsi="Times New Roman" w:cs="Times New Roman"/>
        </w:rPr>
      </w:pPr>
      <w:r>
        <w:rPr>
          <w:rFonts w:ascii="Times New Roman" w:hAnsi="Times New Roman" w:cs="Times New Roman"/>
        </w:rPr>
        <w:t>The Ene</w:t>
      </w:r>
      <w:r w:rsidR="00FE19F9">
        <w:rPr>
          <w:rFonts w:ascii="Times New Roman" w:hAnsi="Times New Roman" w:cs="Times New Roman"/>
        </w:rPr>
        <w:t>rgy Regulatory Commission (CRE)</w:t>
      </w:r>
      <w:r w:rsidR="00B16D91" w:rsidRPr="008F46C2">
        <w:rPr>
          <w:rFonts w:ascii="Times New Roman" w:hAnsi="Times New Roman" w:cs="Times New Roman"/>
        </w:rPr>
        <w:t xml:space="preserve"> plays a relevant role and has </w:t>
      </w:r>
      <w:r w:rsidR="007362E9" w:rsidRPr="008F46C2">
        <w:rPr>
          <w:rFonts w:ascii="Times New Roman" w:hAnsi="Times New Roman" w:cs="Times New Roman"/>
        </w:rPr>
        <w:t xml:space="preserve">a 12 year </w:t>
      </w:r>
      <w:r w:rsidR="00B16D91" w:rsidRPr="008F46C2">
        <w:rPr>
          <w:rFonts w:ascii="Times New Roman" w:hAnsi="Times New Roman" w:cs="Times New Roman"/>
        </w:rPr>
        <w:t>experience in the development of</w:t>
      </w:r>
      <w:r w:rsidR="007362E9" w:rsidRPr="008F46C2">
        <w:rPr>
          <w:rFonts w:ascii="Times New Roman" w:hAnsi="Times New Roman" w:cs="Times New Roman"/>
        </w:rPr>
        <w:t xml:space="preserve"> regulations for Renewable Energy in Mexico. </w:t>
      </w:r>
      <w:r w:rsidR="00917E5E" w:rsidRPr="00917E5E">
        <w:rPr>
          <w:rFonts w:ascii="Times New Roman" w:hAnsi="Times New Roman" w:cs="Times New Roman"/>
        </w:rPr>
        <w:t xml:space="preserve">As a promoter of electricity generation by private developers, it has issued </w:t>
      </w:r>
      <w:r w:rsidR="000E1695">
        <w:rPr>
          <w:rFonts w:ascii="Times New Roman" w:hAnsi="Times New Roman" w:cs="Times New Roman"/>
        </w:rPr>
        <w:t xml:space="preserve">permits for renewable energy generation and will play a very relevant role in the expansion of geothermal energy in Mexico. </w:t>
      </w:r>
    </w:p>
    <w:p w:rsidR="007E27B8" w:rsidRDefault="007E27B8" w:rsidP="00B16D91">
      <w:pPr>
        <w:autoSpaceDE w:val="0"/>
        <w:autoSpaceDN w:val="0"/>
        <w:adjustRightInd w:val="0"/>
        <w:rPr>
          <w:rFonts w:ascii="Times New Roman" w:hAnsi="Times New Roman" w:cs="Times New Roman"/>
        </w:rPr>
      </w:pPr>
    </w:p>
    <w:p w:rsidR="00B16D91" w:rsidRPr="008F46C2" w:rsidRDefault="007E27B8" w:rsidP="00B16D91">
      <w:pPr>
        <w:autoSpaceDE w:val="0"/>
        <w:autoSpaceDN w:val="0"/>
        <w:adjustRightInd w:val="0"/>
        <w:rPr>
          <w:rFonts w:ascii="Times New Roman" w:hAnsi="Times New Roman" w:cs="Times New Roman"/>
        </w:rPr>
      </w:pPr>
      <w:r>
        <w:rPr>
          <w:rFonts w:ascii="Times New Roman" w:hAnsi="Times New Roman" w:cs="Times New Roman"/>
        </w:rPr>
        <w:t>The Federal Electricity Commission</w:t>
      </w:r>
      <w:r w:rsidR="007362E9" w:rsidRPr="008F46C2">
        <w:rPr>
          <w:rFonts w:ascii="Times New Roman" w:hAnsi="Times New Roman" w:cs="Times New Roman"/>
        </w:rPr>
        <w:t xml:space="preserve"> </w:t>
      </w:r>
      <w:r>
        <w:rPr>
          <w:rFonts w:ascii="Times New Roman" w:hAnsi="Times New Roman" w:cs="Times New Roman"/>
        </w:rPr>
        <w:t xml:space="preserve">(CFE) </w:t>
      </w:r>
      <w:r w:rsidR="007362E9" w:rsidRPr="008F46C2">
        <w:rPr>
          <w:rFonts w:ascii="Times New Roman" w:hAnsi="Times New Roman" w:cs="Times New Roman"/>
        </w:rPr>
        <w:t>is the fourth producer of geothermal energy in the world and has 40 years of experience in developing geothermal fields in the country. T</w:t>
      </w:r>
      <w:r w:rsidR="00B16D91" w:rsidRPr="008F46C2">
        <w:rPr>
          <w:rFonts w:ascii="Times New Roman" w:hAnsi="Times New Roman" w:cs="Times New Roman"/>
        </w:rPr>
        <w:t>his program seeks to build on this expertise by fostering PPP business models</w:t>
      </w:r>
      <w:r w:rsidR="00CC382A" w:rsidRPr="008F46C2">
        <w:rPr>
          <w:rFonts w:ascii="Times New Roman" w:hAnsi="Times New Roman" w:cs="Times New Roman"/>
        </w:rPr>
        <w:t xml:space="preserve">, taking advantage of the impressive body of knowledge that the institution has gathered. </w:t>
      </w:r>
    </w:p>
    <w:p w:rsidR="007E27B8" w:rsidRDefault="007E27B8" w:rsidP="00B16D91">
      <w:pPr>
        <w:autoSpaceDE w:val="0"/>
        <w:autoSpaceDN w:val="0"/>
        <w:adjustRightInd w:val="0"/>
        <w:rPr>
          <w:rFonts w:ascii="Times New Roman" w:hAnsi="Times New Roman" w:cs="Times New Roman"/>
        </w:rPr>
      </w:pPr>
    </w:p>
    <w:p w:rsidR="00B16D91" w:rsidRPr="008F46C2" w:rsidRDefault="00B16D91" w:rsidP="00B16D91">
      <w:pPr>
        <w:autoSpaceDE w:val="0"/>
        <w:autoSpaceDN w:val="0"/>
        <w:adjustRightInd w:val="0"/>
        <w:rPr>
          <w:rFonts w:ascii="Times New Roman" w:hAnsi="Times New Roman" w:cs="Times New Roman"/>
        </w:rPr>
      </w:pPr>
      <w:r w:rsidRPr="008F46C2">
        <w:rPr>
          <w:rFonts w:ascii="Times New Roman" w:hAnsi="Times New Roman" w:cs="Times New Roman"/>
        </w:rPr>
        <w:t xml:space="preserve">Even though the geothermal </w:t>
      </w:r>
      <w:r w:rsidR="00CC382A" w:rsidRPr="008F46C2">
        <w:rPr>
          <w:rFonts w:ascii="Times New Roman" w:hAnsi="Times New Roman" w:cs="Times New Roman"/>
        </w:rPr>
        <w:t xml:space="preserve">development industry is practically at </w:t>
      </w:r>
      <w:r w:rsidRPr="008F46C2">
        <w:rPr>
          <w:rFonts w:ascii="Times New Roman" w:hAnsi="Times New Roman" w:cs="Times New Roman"/>
        </w:rPr>
        <w:t>a nascent stage in Mexico, there are already s</w:t>
      </w:r>
      <w:r w:rsidR="00045FC4" w:rsidRPr="008F46C2">
        <w:rPr>
          <w:rFonts w:ascii="Times New Roman" w:hAnsi="Times New Roman" w:cs="Times New Roman"/>
        </w:rPr>
        <w:t xml:space="preserve">everal firms that are investing resources in exploratory studies and exploration drilling. These firms have </w:t>
      </w:r>
      <w:r w:rsidR="007E27B8">
        <w:rPr>
          <w:rFonts w:ascii="Times New Roman" w:hAnsi="Times New Roman" w:cs="Times New Roman"/>
        </w:rPr>
        <w:t>vast</w:t>
      </w:r>
      <w:r w:rsidR="00EC084E" w:rsidRPr="008F46C2">
        <w:rPr>
          <w:rFonts w:ascii="Times New Roman" w:hAnsi="Times New Roman" w:cs="Times New Roman"/>
        </w:rPr>
        <w:t xml:space="preserve"> </w:t>
      </w:r>
      <w:r w:rsidR="00045FC4" w:rsidRPr="008F46C2">
        <w:rPr>
          <w:rFonts w:ascii="Times New Roman" w:hAnsi="Times New Roman" w:cs="Times New Roman"/>
        </w:rPr>
        <w:t>experience internationally</w:t>
      </w:r>
      <w:r w:rsidRPr="008F46C2">
        <w:rPr>
          <w:rFonts w:ascii="Times New Roman" w:hAnsi="Times New Roman" w:cs="Times New Roman"/>
        </w:rPr>
        <w:t xml:space="preserve"> and </w:t>
      </w:r>
      <w:r w:rsidR="007E27B8">
        <w:rPr>
          <w:rFonts w:ascii="Times New Roman" w:hAnsi="Times New Roman" w:cs="Times New Roman"/>
        </w:rPr>
        <w:t xml:space="preserve">are </w:t>
      </w:r>
      <w:r w:rsidRPr="008F46C2">
        <w:rPr>
          <w:rFonts w:ascii="Times New Roman" w:hAnsi="Times New Roman" w:cs="Times New Roman"/>
        </w:rPr>
        <w:t>backed b</w:t>
      </w:r>
      <w:r w:rsidR="00045FC4" w:rsidRPr="008F46C2">
        <w:rPr>
          <w:rFonts w:ascii="Times New Roman" w:hAnsi="Times New Roman" w:cs="Times New Roman"/>
        </w:rPr>
        <w:t>y solid technology providers</w:t>
      </w:r>
      <w:r w:rsidR="001A249E">
        <w:rPr>
          <w:rStyle w:val="FootnoteReference"/>
          <w:rFonts w:ascii="Times New Roman" w:hAnsi="Times New Roman" w:cs="Times New Roman"/>
        </w:rPr>
        <w:footnoteReference w:id="14"/>
      </w:r>
      <w:r w:rsidR="001A249E">
        <w:rPr>
          <w:rStyle w:val="FootnoteReference"/>
          <w:rFonts w:ascii="Times New Roman" w:hAnsi="Times New Roman" w:cs="Times New Roman"/>
        </w:rPr>
        <w:footnoteReference w:id="15"/>
      </w:r>
      <w:r w:rsidR="00045FC4" w:rsidRPr="008F46C2">
        <w:rPr>
          <w:rFonts w:ascii="Times New Roman" w:hAnsi="Times New Roman" w:cs="Times New Roman"/>
        </w:rPr>
        <w:t>.</w:t>
      </w:r>
      <w:r w:rsidR="007E27B8">
        <w:rPr>
          <w:rFonts w:ascii="Times New Roman" w:hAnsi="Times New Roman" w:cs="Times New Roman"/>
        </w:rPr>
        <w:t xml:space="preserve"> </w:t>
      </w:r>
    </w:p>
    <w:p w:rsidR="00B16D91" w:rsidRPr="008F46C2" w:rsidRDefault="00B16D91" w:rsidP="00B16D91">
      <w:pPr>
        <w:pStyle w:val="Numberedparagraph"/>
        <w:numPr>
          <w:ilvl w:val="1"/>
          <w:numId w:val="0"/>
        </w:numPr>
        <w:tabs>
          <w:tab w:val="num" w:pos="576"/>
        </w:tabs>
        <w:spacing w:before="0"/>
        <w:rPr>
          <w:szCs w:val="22"/>
        </w:rPr>
      </w:pPr>
    </w:p>
    <w:p w:rsidR="00B16D91" w:rsidRPr="008F46C2" w:rsidRDefault="00B16D91" w:rsidP="00B16D91">
      <w:pPr>
        <w:pStyle w:val="Heading2"/>
        <w:numPr>
          <w:ilvl w:val="0"/>
          <w:numId w:val="0"/>
        </w:numPr>
        <w:spacing w:before="0" w:after="0"/>
        <w:rPr>
          <w:rFonts w:ascii="Times New Roman" w:hAnsi="Times New Roman"/>
          <w:sz w:val="22"/>
          <w:szCs w:val="22"/>
        </w:rPr>
      </w:pPr>
      <w:r w:rsidRPr="008F46C2">
        <w:rPr>
          <w:rFonts w:ascii="Times New Roman" w:hAnsi="Times New Roman"/>
          <w:sz w:val="22"/>
          <w:szCs w:val="22"/>
        </w:rPr>
        <w:t>Additional Costs and Risk Premium</w:t>
      </w:r>
    </w:p>
    <w:p w:rsidR="00B16D91" w:rsidRPr="008F46C2" w:rsidRDefault="00B16D91" w:rsidP="00B16D91">
      <w:pPr>
        <w:rPr>
          <w:rFonts w:ascii="Times New Roman" w:hAnsi="Times New Roman" w:cs="Times New Roman"/>
        </w:rPr>
      </w:pPr>
    </w:p>
    <w:p w:rsidR="00B16D91" w:rsidRPr="008F46C2" w:rsidRDefault="00B16D91" w:rsidP="00B16D91">
      <w:pPr>
        <w:rPr>
          <w:rFonts w:ascii="Times New Roman" w:hAnsi="Times New Roman" w:cs="Times New Roman"/>
        </w:rPr>
      </w:pPr>
      <w:r w:rsidRPr="008F46C2">
        <w:rPr>
          <w:rFonts w:ascii="Times New Roman" w:hAnsi="Times New Roman" w:cs="Times New Roman"/>
        </w:rPr>
        <w:t xml:space="preserve">The Program aims to develop a pipeline of geothermal projects in Mexico and tackle the financial barriers encountered by private developers to access to financing sources. Lack of knowledge and absence of a performance record negatively affects investors and financiers. </w:t>
      </w:r>
      <w:r w:rsidRPr="008F46C2">
        <w:rPr>
          <w:rFonts w:ascii="Times New Roman" w:hAnsi="Times New Roman" w:cs="Times New Roman"/>
          <w:b/>
        </w:rPr>
        <w:t>As long as financial institutions do not understand the economics of geothermal technologies and develop methodologies to evaluate the feasibility of the projects, risk will be perceived as unbearable even after discovery</w:t>
      </w:r>
      <w:r w:rsidRPr="008F46C2">
        <w:rPr>
          <w:rFonts w:ascii="Times New Roman" w:hAnsi="Times New Roman" w:cs="Times New Roman"/>
        </w:rPr>
        <w:t>, financing will be unavailable and developments will have to rely exclusively on scarce and expensive capital resources, slowing down or precluding investment in the sector.</w:t>
      </w:r>
    </w:p>
    <w:p w:rsidR="00806DAE" w:rsidRDefault="00806DAE" w:rsidP="00B16D91">
      <w:pPr>
        <w:autoSpaceDE w:val="0"/>
        <w:autoSpaceDN w:val="0"/>
        <w:adjustRightInd w:val="0"/>
        <w:rPr>
          <w:rFonts w:ascii="Times New Roman" w:hAnsi="Times New Roman" w:cs="Times New Roman"/>
        </w:rPr>
      </w:pPr>
    </w:p>
    <w:p w:rsidR="00B16D91" w:rsidRPr="008F46C2" w:rsidRDefault="00B16D91" w:rsidP="00B16D91">
      <w:pPr>
        <w:autoSpaceDE w:val="0"/>
        <w:autoSpaceDN w:val="0"/>
        <w:adjustRightInd w:val="0"/>
        <w:rPr>
          <w:rFonts w:ascii="Times New Roman" w:hAnsi="Times New Roman" w:cs="Times New Roman"/>
        </w:rPr>
      </w:pPr>
      <w:r w:rsidRPr="008F46C2">
        <w:rPr>
          <w:rFonts w:ascii="Times New Roman" w:hAnsi="Times New Roman" w:cs="Times New Roman"/>
        </w:rPr>
        <w:t xml:space="preserve">CTF resources will be able to provide financing </w:t>
      </w:r>
      <w:r w:rsidRPr="008F46C2">
        <w:rPr>
          <w:rFonts w:ascii="Times New Roman" w:hAnsi="Times New Roman" w:cs="Times New Roman"/>
          <w:b/>
        </w:rPr>
        <w:t>currently not available in the market</w:t>
      </w:r>
      <w:r w:rsidRPr="008F46C2">
        <w:rPr>
          <w:rFonts w:ascii="Times New Roman" w:hAnsi="Times New Roman" w:cs="Times New Roman"/>
        </w:rPr>
        <w:t xml:space="preserve">. Through the generation of a track record and knowledge for investors, financial institutions, institutions and developers, the perceived risks will be lower and additional finance will be available to further develop the sector in Mexico.  The option of a public sector company was extremely successful in Mexico for at least 40 years. However, </w:t>
      </w:r>
      <w:r w:rsidR="00005E09">
        <w:rPr>
          <w:rFonts w:ascii="Times New Roman" w:hAnsi="Times New Roman" w:cs="Times New Roman"/>
        </w:rPr>
        <w:t>die to the scarcity of public resources and the stringe</w:t>
      </w:r>
      <w:r w:rsidR="00D824C8">
        <w:rPr>
          <w:rFonts w:ascii="Times New Roman" w:hAnsi="Times New Roman" w:cs="Times New Roman"/>
        </w:rPr>
        <w:t xml:space="preserve">nt requirements for their use, </w:t>
      </w:r>
      <w:r w:rsidRPr="00806DAE">
        <w:rPr>
          <w:rFonts w:ascii="Times New Roman" w:hAnsi="Times New Roman" w:cs="Times New Roman"/>
          <w:b/>
        </w:rPr>
        <w:t>CFE has lately underinvested in geothermal vis-a-vis fossil fuel plants with shorter lead times and higher returns</w:t>
      </w:r>
      <w:r w:rsidRPr="008F46C2">
        <w:rPr>
          <w:rFonts w:ascii="Times New Roman" w:hAnsi="Times New Roman" w:cs="Times New Roman"/>
        </w:rPr>
        <w:t xml:space="preserve">. Hence, consensus on the need for financial support to develop geothermal power generation has been reached.  </w:t>
      </w:r>
    </w:p>
    <w:p w:rsidR="00B16D91" w:rsidRDefault="00B16D91" w:rsidP="00B16D91">
      <w:pPr>
        <w:autoSpaceDE w:val="0"/>
        <w:autoSpaceDN w:val="0"/>
        <w:adjustRightInd w:val="0"/>
        <w:rPr>
          <w:rFonts w:ascii="Times New Roman" w:hAnsi="Times New Roman" w:cs="Times New Roman"/>
        </w:rPr>
      </w:pPr>
    </w:p>
    <w:p w:rsidR="00806DAE" w:rsidRPr="008F46C2" w:rsidRDefault="00806DAE" w:rsidP="00806DAE">
      <w:pPr>
        <w:rPr>
          <w:rFonts w:ascii="Times New Roman" w:hAnsi="Times New Roman" w:cs="Times New Roman"/>
        </w:rPr>
      </w:pPr>
      <w:r w:rsidRPr="008F46C2">
        <w:rPr>
          <w:rFonts w:ascii="Times New Roman" w:hAnsi="Times New Roman" w:cs="Times New Roman"/>
        </w:rPr>
        <w:t xml:space="preserve">Consistent with its principles and objectives, </w:t>
      </w:r>
      <w:r w:rsidRPr="00806DAE">
        <w:rPr>
          <w:rFonts w:ascii="Times New Roman" w:hAnsi="Times New Roman" w:cs="Times New Roman"/>
          <w:b/>
        </w:rPr>
        <w:t xml:space="preserve">CTF funding will take risks that commercial lenders are not able to bear, </w:t>
      </w:r>
      <w:r w:rsidRPr="008F46C2">
        <w:rPr>
          <w:rFonts w:ascii="Times New Roman" w:hAnsi="Times New Roman" w:cs="Times New Roman"/>
        </w:rPr>
        <w:t>crowding in the private sector by catalyzing investment that would not have happened otherwise. Resources from the Utility-Scale Renewable Energy Program (DPSP) will be concentrated on riskier phases of exploration, following its objective to prioritize available concessional funds towards exploratory drilling and geothermal resource validation.</w:t>
      </w:r>
    </w:p>
    <w:p w:rsidR="00806DAE" w:rsidRDefault="00806DAE" w:rsidP="00806DAE">
      <w:pPr>
        <w:rPr>
          <w:rFonts w:ascii="Times New Roman" w:hAnsi="Times New Roman" w:cs="Times New Roman"/>
        </w:rPr>
      </w:pPr>
      <w:r w:rsidRPr="008F46C2">
        <w:rPr>
          <w:rFonts w:ascii="Times New Roman" w:hAnsi="Times New Roman" w:cs="Times New Roman"/>
        </w:rPr>
        <w:lastRenderedPageBreak/>
        <w:t>While IDB/NAFIN</w:t>
      </w:r>
      <w:r w:rsidR="003A475D">
        <w:rPr>
          <w:rFonts w:ascii="Times New Roman" w:hAnsi="Times New Roman" w:cs="Times New Roman"/>
        </w:rPr>
        <w:t>?CTF</w:t>
      </w:r>
      <w:r w:rsidRPr="008F46C2">
        <w:rPr>
          <w:rFonts w:ascii="Times New Roman" w:hAnsi="Times New Roman" w:cs="Times New Roman"/>
        </w:rPr>
        <w:t xml:space="preserve"> concessional loans will be made available for early exploration, these are not expected to significantly alter the risk/reward ratio of the exploration, and lending needs to be combined with risk sharing instruments. The IDB considers this a most effective structure to mobilize financing for the early phase of development of geothermal projects, where specific incremental risks (i.e. resource risks) are high. The involvement of NAFIN and the private banking and insurance sectors should maximize leverage from public and private sources, accelerate and scale-up finance to a larger number of private projects, enable the conditions for a sustainable development of the geothermal sector and reduce the need for subsidies in the future.</w:t>
      </w:r>
    </w:p>
    <w:p w:rsidR="00806DAE" w:rsidRDefault="00806DAE" w:rsidP="00B16D91">
      <w:pPr>
        <w:autoSpaceDE w:val="0"/>
        <w:autoSpaceDN w:val="0"/>
        <w:adjustRightInd w:val="0"/>
        <w:rPr>
          <w:rFonts w:ascii="Times New Roman" w:hAnsi="Times New Roman" w:cs="Times New Roman"/>
        </w:rPr>
      </w:pPr>
    </w:p>
    <w:p w:rsidR="005708A5" w:rsidRPr="005708A5" w:rsidRDefault="00806DAE" w:rsidP="005708A5">
      <w:pPr>
        <w:autoSpaceDE w:val="0"/>
        <w:autoSpaceDN w:val="0"/>
        <w:adjustRightInd w:val="0"/>
        <w:rPr>
          <w:rFonts w:ascii="Times New Roman" w:hAnsi="Times New Roman" w:cs="Times New Roman"/>
        </w:rPr>
      </w:pPr>
      <w:r>
        <w:rPr>
          <w:rFonts w:ascii="Times New Roman" w:hAnsi="Times New Roman" w:cs="Times New Roman"/>
        </w:rPr>
        <w:t>Specifically, the resources will be used as follows:</w:t>
      </w:r>
    </w:p>
    <w:p w:rsidR="005708A5" w:rsidRPr="008F46C2" w:rsidRDefault="005708A5" w:rsidP="005708A5">
      <w:pPr>
        <w:rPr>
          <w:rFonts w:ascii="Times New Roman" w:hAnsi="Times New Roman" w:cs="Times New Roman"/>
        </w:rPr>
      </w:pPr>
    </w:p>
    <w:p w:rsidR="005708A5" w:rsidRPr="008F46C2" w:rsidRDefault="005708A5" w:rsidP="005708A5">
      <w:pPr>
        <w:rPr>
          <w:rFonts w:ascii="Times New Roman" w:hAnsi="Times New Roman" w:cs="Times New Roman"/>
        </w:rPr>
      </w:pPr>
      <w:r w:rsidRPr="008F46C2">
        <w:rPr>
          <w:rFonts w:ascii="Times New Roman" w:hAnsi="Times New Roman" w:cs="Times New Roman"/>
          <w:b/>
        </w:rPr>
        <w:t>CTF IP</w:t>
      </w:r>
      <w:r w:rsidRPr="008F46C2">
        <w:rPr>
          <w:rFonts w:ascii="Times New Roman" w:hAnsi="Times New Roman" w:cs="Times New Roman"/>
        </w:rPr>
        <w:t xml:space="preserve"> resources in the form of a harder concessional loan are requested to be blended with IDB/NAFIN resources for financing </w:t>
      </w:r>
      <w:r w:rsidRPr="005708A5">
        <w:rPr>
          <w:rFonts w:ascii="Times New Roman" w:hAnsi="Times New Roman" w:cs="Times New Roman"/>
        </w:rPr>
        <w:t>at all stages of the development of the projects.</w:t>
      </w:r>
    </w:p>
    <w:p w:rsidR="005708A5" w:rsidRDefault="005708A5" w:rsidP="00AE0E10">
      <w:pPr>
        <w:rPr>
          <w:rFonts w:ascii="Times New Roman" w:hAnsi="Times New Roman" w:cs="Times New Roman"/>
          <w:b/>
        </w:rPr>
      </w:pPr>
    </w:p>
    <w:p w:rsidR="00AE0E10" w:rsidRPr="008F46C2" w:rsidRDefault="00AE0E10" w:rsidP="00AE0E10">
      <w:pPr>
        <w:rPr>
          <w:rFonts w:ascii="Times New Roman" w:hAnsi="Times New Roman" w:cs="Times New Roman"/>
        </w:rPr>
      </w:pPr>
      <w:r w:rsidRPr="008F46C2">
        <w:rPr>
          <w:rFonts w:ascii="Times New Roman" w:hAnsi="Times New Roman" w:cs="Times New Roman"/>
          <w:b/>
        </w:rPr>
        <w:t>CTF DPSP</w:t>
      </w:r>
      <w:r w:rsidRPr="008F46C2">
        <w:rPr>
          <w:rFonts w:ascii="Times New Roman" w:hAnsi="Times New Roman" w:cs="Times New Roman"/>
        </w:rPr>
        <w:t xml:space="preserve"> resources</w:t>
      </w:r>
      <w:r w:rsidR="00FE19F9">
        <w:rPr>
          <w:rFonts w:ascii="Times New Roman" w:hAnsi="Times New Roman" w:cs="Times New Roman"/>
        </w:rPr>
        <w:t xml:space="preserve"> will </w:t>
      </w:r>
      <w:r w:rsidR="00FE19F9" w:rsidRPr="00BF2321">
        <w:rPr>
          <w:rFonts w:ascii="Times New Roman" w:hAnsi="Times New Roman" w:cs="Times New Roman"/>
        </w:rPr>
        <w:t>be requested</w:t>
      </w:r>
      <w:r w:rsidRPr="00BF2321">
        <w:rPr>
          <w:rFonts w:ascii="Times New Roman" w:hAnsi="Times New Roman" w:cs="Times New Roman"/>
        </w:rPr>
        <w:t xml:space="preserve"> in the form of a </w:t>
      </w:r>
      <w:r w:rsidR="00BF2321" w:rsidRPr="00BF2321">
        <w:rPr>
          <w:rFonts w:ascii="Times New Roman" w:hAnsi="Times New Roman" w:cs="Times New Roman"/>
        </w:rPr>
        <w:t xml:space="preserve">contingent recovery </w:t>
      </w:r>
      <w:r w:rsidRPr="00BF2321">
        <w:rPr>
          <w:rFonts w:ascii="Times New Roman" w:hAnsi="Times New Roman" w:cs="Times New Roman"/>
        </w:rPr>
        <w:t>grant</w:t>
      </w:r>
      <w:r w:rsidRPr="008F46C2">
        <w:rPr>
          <w:rStyle w:val="FootnoteReference"/>
          <w:rFonts w:ascii="Times New Roman" w:hAnsi="Times New Roman" w:cs="Times New Roman"/>
        </w:rPr>
        <w:footnoteReference w:id="16"/>
      </w:r>
      <w:r w:rsidRPr="008F46C2">
        <w:rPr>
          <w:rFonts w:ascii="Times New Roman" w:hAnsi="Times New Roman" w:cs="Times New Roman"/>
        </w:rPr>
        <w:t xml:space="preserve"> to support the deployment of risk mitigation instruments,</w:t>
      </w:r>
      <w:r w:rsidR="005708A5">
        <w:rPr>
          <w:rFonts w:ascii="Times New Roman" w:hAnsi="Times New Roman" w:cs="Times New Roman"/>
        </w:rPr>
        <w:t xml:space="preserve"> </w:t>
      </w:r>
      <w:r w:rsidR="005708A5" w:rsidRPr="005708A5">
        <w:rPr>
          <w:rFonts w:ascii="Times New Roman" w:hAnsi="Times New Roman" w:cs="Times New Roman"/>
        </w:rPr>
        <w:t xml:space="preserve">specifically designed to maximize leverage of CTF resources and to back the financing of the projects, making them bankable and diminishing the need of capital,  </w:t>
      </w:r>
      <w:r w:rsidRPr="008F46C2">
        <w:rPr>
          <w:rFonts w:ascii="Times New Roman" w:hAnsi="Times New Roman" w:cs="Times New Roman"/>
        </w:rPr>
        <w:t xml:space="preserve"> namely:</w:t>
      </w:r>
    </w:p>
    <w:p w:rsidR="00AE0E10" w:rsidRPr="00BF2321" w:rsidRDefault="00AE0E10" w:rsidP="00AE0E10">
      <w:pPr>
        <w:rPr>
          <w:rFonts w:ascii="Times New Roman" w:hAnsi="Times New Roman" w:cs="Times New Roman"/>
        </w:rPr>
      </w:pPr>
      <w:r w:rsidRPr="00806DAE">
        <w:rPr>
          <w:rFonts w:ascii="Times New Roman" w:hAnsi="Times New Roman" w:cs="Times New Roman"/>
          <w:i/>
        </w:rPr>
        <w:t xml:space="preserve">Loans </w:t>
      </w:r>
      <w:r w:rsidRPr="00BF2321">
        <w:rPr>
          <w:rFonts w:ascii="Times New Roman" w:hAnsi="Times New Roman" w:cs="Times New Roman"/>
          <w:i/>
        </w:rPr>
        <w:t>convertible to grants.</w:t>
      </w:r>
      <w:r w:rsidRPr="00BF2321">
        <w:rPr>
          <w:rFonts w:ascii="Times New Roman" w:hAnsi="Times New Roman" w:cs="Times New Roman"/>
        </w:rPr>
        <w:t xml:space="preserve"> IDB/NAFIN</w:t>
      </w:r>
      <w:r w:rsidR="005708A5" w:rsidRPr="00BF2321">
        <w:rPr>
          <w:rFonts w:ascii="Times New Roman" w:hAnsi="Times New Roman" w:cs="Times New Roman"/>
        </w:rPr>
        <w:t xml:space="preserve">/CTF IP   </w:t>
      </w:r>
      <w:r w:rsidRPr="00BF2321">
        <w:rPr>
          <w:rFonts w:ascii="Times New Roman" w:hAnsi="Times New Roman" w:cs="Times New Roman"/>
        </w:rPr>
        <w:t xml:space="preserve">exploration loans will be made available through NAFIN to developers for early drilling (first slim holes or wells). CTF </w:t>
      </w:r>
      <w:r w:rsidR="005708A5" w:rsidRPr="00BF2321">
        <w:rPr>
          <w:rFonts w:ascii="Times New Roman" w:hAnsi="Times New Roman" w:cs="Times New Roman"/>
        </w:rPr>
        <w:t xml:space="preserve">DPSP </w:t>
      </w:r>
      <w:r w:rsidRPr="00BF2321">
        <w:rPr>
          <w:rFonts w:ascii="Times New Roman" w:hAnsi="Times New Roman" w:cs="Times New Roman"/>
        </w:rPr>
        <w:t xml:space="preserve">funding will cushion the risks by operating as a guarantee, </w:t>
      </w:r>
      <w:r w:rsidR="005708A5" w:rsidRPr="00BF2321">
        <w:rPr>
          <w:rFonts w:ascii="Times New Roman" w:hAnsi="Times New Roman" w:cs="Times New Roman"/>
        </w:rPr>
        <w:t>fully or partially guaranteeing these loans</w:t>
      </w:r>
      <w:r w:rsidRPr="00BF2321">
        <w:rPr>
          <w:rFonts w:ascii="Times New Roman" w:hAnsi="Times New Roman" w:cs="Times New Roman"/>
        </w:rPr>
        <w:t>.</w:t>
      </w:r>
      <w:r w:rsidR="003A475D" w:rsidRPr="00BF2321">
        <w:rPr>
          <w:rFonts w:ascii="Times New Roman" w:hAnsi="Times New Roman" w:cs="Times New Roman"/>
        </w:rPr>
        <w:t xml:space="preserve"> DPSP resources will only cover resource risks. </w:t>
      </w:r>
      <w:r w:rsidRPr="00BF2321">
        <w:rPr>
          <w:rFonts w:ascii="Times New Roman" w:hAnsi="Times New Roman" w:cs="Times New Roman"/>
        </w:rPr>
        <w:t xml:space="preserve"> The sponsor would have recourse to an agreement with the grant fund (managed by NAFIN) and present a request for it to cover the debt service in the event that any of the specific technical triggers occur.</w:t>
      </w:r>
    </w:p>
    <w:p w:rsidR="005708A5" w:rsidRPr="00BF2321" w:rsidRDefault="005708A5" w:rsidP="00AE0E10">
      <w:pPr>
        <w:rPr>
          <w:rFonts w:ascii="Times New Roman" w:hAnsi="Times New Roman" w:cs="Times New Roman"/>
        </w:rPr>
      </w:pPr>
      <w:r w:rsidRPr="00BF2321">
        <w:rPr>
          <w:rFonts w:ascii="Times New Roman" w:hAnsi="Times New Roman" w:cs="Times New Roman"/>
        </w:rPr>
        <w:t>CTF DPSP funding will cushion the risks by operating as a guarantee, fully or partially guaranteeing these loans. The sponsor/lender would have an recourse to an agreement with the grant fund (managed by NAFIN) and present a request for it to fully or partially cover the debt service in the event of (once technical triggers is ascertained).</w:t>
      </w:r>
    </w:p>
    <w:p w:rsidR="00AE0E10" w:rsidRPr="008F46C2" w:rsidRDefault="00AE0E10" w:rsidP="00AE0E10">
      <w:pPr>
        <w:rPr>
          <w:rFonts w:ascii="Times New Roman" w:hAnsi="Times New Roman" w:cs="Times New Roman"/>
        </w:rPr>
      </w:pPr>
      <w:r w:rsidRPr="00BF2321">
        <w:rPr>
          <w:rFonts w:ascii="Times New Roman" w:hAnsi="Times New Roman" w:cs="Times New Roman"/>
          <w:i/>
        </w:rPr>
        <w:t>Grants to partially cover insurance and insured loan premiums and/or rates.</w:t>
      </w:r>
      <w:r w:rsidRPr="00BF2321">
        <w:rPr>
          <w:rFonts w:ascii="Times New Roman" w:hAnsi="Times New Roman" w:cs="Times New Roman"/>
        </w:rPr>
        <w:t xml:space="preserve"> Because insurance policies are still in the process of development</w:t>
      </w:r>
      <w:r w:rsidRPr="00BF2321">
        <w:rPr>
          <w:rStyle w:val="FootnoteReference"/>
          <w:rFonts w:ascii="Times New Roman" w:hAnsi="Times New Roman" w:cs="Times New Roman"/>
        </w:rPr>
        <w:footnoteReference w:id="17"/>
      </w:r>
      <w:r w:rsidRPr="00BF2321">
        <w:rPr>
          <w:rFonts w:ascii="Times New Roman" w:hAnsi="Times New Roman" w:cs="Times New Roman"/>
        </w:rPr>
        <w:t>, the costs for a project to assume the associated premiums are fairly high</w:t>
      </w:r>
      <w:r w:rsidRPr="008F46C2">
        <w:rPr>
          <w:rFonts w:ascii="Times New Roman" w:hAnsi="Times New Roman" w:cs="Times New Roman"/>
        </w:rPr>
        <w:t xml:space="preserve"> and a subsidy is needed to make insured exploration financially viable. CTF</w:t>
      </w:r>
      <w:r w:rsidR="005708A5">
        <w:rPr>
          <w:rFonts w:ascii="Times New Roman" w:hAnsi="Times New Roman" w:cs="Times New Roman"/>
        </w:rPr>
        <w:t xml:space="preserve"> DPSP grant</w:t>
      </w:r>
      <w:r w:rsidRPr="008F46C2">
        <w:rPr>
          <w:rFonts w:ascii="Times New Roman" w:hAnsi="Times New Roman" w:cs="Times New Roman"/>
        </w:rPr>
        <w:t xml:space="preserve"> funding will off-set these upfront costs, sharing with developers the cost of the insurance premium for a policy to cover IDB/NAFIN</w:t>
      </w:r>
      <w:r w:rsidR="005708A5">
        <w:rPr>
          <w:rFonts w:ascii="Times New Roman" w:hAnsi="Times New Roman" w:cs="Times New Roman"/>
        </w:rPr>
        <w:t>/CTF IP</w:t>
      </w:r>
      <w:r w:rsidRPr="008F46C2">
        <w:rPr>
          <w:rFonts w:ascii="Times New Roman" w:hAnsi="Times New Roman" w:cs="Times New Roman"/>
        </w:rPr>
        <w:t xml:space="preserve"> or commercial exploration loans</w:t>
      </w:r>
      <w:r w:rsidRPr="008F46C2">
        <w:rPr>
          <w:rStyle w:val="FootnoteReference"/>
          <w:rFonts w:ascii="Times New Roman" w:hAnsi="Times New Roman" w:cs="Times New Roman"/>
        </w:rPr>
        <w:footnoteReference w:id="18"/>
      </w:r>
      <w:r w:rsidRPr="008F46C2">
        <w:rPr>
          <w:rFonts w:ascii="Times New Roman" w:hAnsi="Times New Roman" w:cs="Times New Roman"/>
        </w:rPr>
        <w:t>.</w:t>
      </w:r>
    </w:p>
    <w:p w:rsidR="0059152E" w:rsidRDefault="0059152E" w:rsidP="0016593A">
      <w:pPr>
        <w:rPr>
          <w:rFonts w:ascii="Times New Roman" w:hAnsi="Times New Roman" w:cs="Times New Roman"/>
        </w:rPr>
      </w:pPr>
    </w:p>
    <w:p w:rsidR="005708A5" w:rsidRDefault="00BF2321" w:rsidP="001077B5">
      <w:pPr>
        <w:rPr>
          <w:rFonts w:ascii="Times New Roman" w:hAnsi="Times New Roman" w:cs="Times New Roman"/>
        </w:rPr>
      </w:pPr>
      <w:r w:rsidRPr="00BF2321">
        <w:rPr>
          <w:rFonts w:ascii="Times New Roman" w:hAnsi="Times New Roman" w:cs="Times New Roman"/>
          <w:b/>
        </w:rPr>
        <w:t>CTF contingent recovery grant</w:t>
      </w:r>
      <w:r w:rsidRPr="00BF2321">
        <w:rPr>
          <w:rFonts w:ascii="Times New Roman" w:hAnsi="Times New Roman" w:cs="Times New Roman"/>
        </w:rPr>
        <w:t xml:space="preserve"> resources to support projects shall be administered through a special account. This account will receive any income from the investment of its funds as well as the reimbursements from sub projects and the fees charged for their use. Any remaining grant funds after 10 years shall </w:t>
      </w:r>
      <w:r>
        <w:rPr>
          <w:rFonts w:ascii="Times New Roman" w:hAnsi="Times New Roman" w:cs="Times New Roman"/>
        </w:rPr>
        <w:t>be returned by NAFIN to the CTF</w:t>
      </w:r>
      <w:r w:rsidR="0059152E">
        <w:rPr>
          <w:rStyle w:val="FootnoteReference"/>
          <w:rFonts w:ascii="Times New Roman" w:hAnsi="Times New Roman" w:cs="Times New Roman"/>
        </w:rPr>
        <w:footnoteReference w:id="19"/>
      </w:r>
      <w:r w:rsidR="005708A5">
        <w:rPr>
          <w:rFonts w:ascii="Times New Roman" w:hAnsi="Times New Roman" w:cs="Times New Roman"/>
        </w:rPr>
        <w:t xml:space="preserve">. These funds will be available to support as man projects as are technically and financially viable over the execution period, </w:t>
      </w:r>
      <w:r w:rsidR="001077B5">
        <w:rPr>
          <w:rFonts w:ascii="Times New Roman" w:hAnsi="Times New Roman" w:cs="Times New Roman"/>
        </w:rPr>
        <w:t>the</w:t>
      </w:r>
      <w:r w:rsidR="005708A5">
        <w:rPr>
          <w:rFonts w:ascii="Times New Roman" w:hAnsi="Times New Roman" w:cs="Times New Roman"/>
        </w:rPr>
        <w:t xml:space="preserve"> </w:t>
      </w:r>
      <w:r w:rsidR="001077B5">
        <w:rPr>
          <w:rFonts w:ascii="Times New Roman" w:hAnsi="Times New Roman" w:cs="Times New Roman"/>
        </w:rPr>
        <w:t>revolving</w:t>
      </w:r>
      <w:r w:rsidR="005708A5">
        <w:rPr>
          <w:rFonts w:ascii="Times New Roman" w:hAnsi="Times New Roman" w:cs="Times New Roman"/>
        </w:rPr>
        <w:t xml:space="preserve"> nature will however be</w:t>
      </w:r>
      <w:r w:rsidR="001077B5">
        <w:rPr>
          <w:rFonts w:ascii="Times New Roman" w:hAnsi="Times New Roman" w:cs="Times New Roman"/>
        </w:rPr>
        <w:t xml:space="preserve"> limited by the success/failure rate of projects.</w:t>
      </w:r>
      <w:r w:rsidR="005708A5">
        <w:rPr>
          <w:rFonts w:ascii="Times New Roman" w:hAnsi="Times New Roman" w:cs="Times New Roman"/>
        </w:rPr>
        <w:t xml:space="preserve"> </w:t>
      </w:r>
      <w:r w:rsidR="0059152E" w:rsidRPr="0059152E">
        <w:rPr>
          <w:rFonts w:ascii="Times New Roman" w:hAnsi="Times New Roman" w:cs="Times New Roman"/>
        </w:rPr>
        <w:t xml:space="preserve">Any remaining funds after the execution period shall be used </w:t>
      </w:r>
      <w:r w:rsidR="001077B5" w:rsidRPr="001077B5">
        <w:rPr>
          <w:rFonts w:ascii="Times New Roman" w:hAnsi="Times New Roman" w:cs="Times New Roman"/>
        </w:rPr>
        <w:t>in support of geothermal projects consistent with the objectives of the program until resources are fully utilized, under the supervision of NAFIN and SENER. In all cases, a thorough due-diligence of projects by an independent expert/ insurance company is expected to reduce the risk of moral hazard.</w:t>
      </w:r>
    </w:p>
    <w:p w:rsidR="003A475D" w:rsidRDefault="003A475D" w:rsidP="001077B5">
      <w:pPr>
        <w:rPr>
          <w:rFonts w:ascii="Times New Roman" w:hAnsi="Times New Roman" w:cs="Times New Roman"/>
        </w:rPr>
      </w:pPr>
    </w:p>
    <w:p w:rsidR="003A475D" w:rsidRPr="008F46C2" w:rsidRDefault="003A475D" w:rsidP="003A475D">
      <w:pPr>
        <w:autoSpaceDE w:val="0"/>
        <w:autoSpaceDN w:val="0"/>
        <w:adjustRightInd w:val="0"/>
        <w:rPr>
          <w:rFonts w:ascii="Times New Roman" w:hAnsi="Times New Roman" w:cs="Times New Roman"/>
        </w:rPr>
      </w:pPr>
      <w:r>
        <w:rPr>
          <w:rFonts w:ascii="Times New Roman" w:hAnsi="Times New Roman" w:cs="Times New Roman"/>
        </w:rPr>
        <w:lastRenderedPageBreak/>
        <w:t xml:space="preserve">Regarding the potential reduction in costs of geothermal development, the industry in Mexico is currently well developed and established, so that in the short term no drastic price changes are expected to occur. However, with the increased support in the Region and </w:t>
      </w:r>
      <w:r w:rsidRPr="003A475D">
        <w:rPr>
          <w:rFonts w:ascii="Times New Roman" w:hAnsi="Times New Roman" w:cs="Times New Roman"/>
        </w:rPr>
        <w:t xml:space="preserve">worldwide due to the </w:t>
      </w:r>
      <w:r>
        <w:rPr>
          <w:rFonts w:ascii="Times New Roman" w:hAnsi="Times New Roman" w:cs="Times New Roman"/>
        </w:rPr>
        <w:t xml:space="preserve">current </w:t>
      </w:r>
      <w:r w:rsidRPr="003A475D">
        <w:rPr>
          <w:rFonts w:ascii="Times New Roman" w:hAnsi="Times New Roman" w:cs="Times New Roman"/>
        </w:rPr>
        <w:t>init</w:t>
      </w:r>
      <w:r>
        <w:rPr>
          <w:rFonts w:ascii="Times New Roman" w:hAnsi="Times New Roman" w:cs="Times New Roman"/>
        </w:rPr>
        <w:t xml:space="preserve">iatives under development is it expected that, in the medium to </w:t>
      </w:r>
      <w:r w:rsidRPr="003A475D">
        <w:rPr>
          <w:rFonts w:ascii="Times New Roman" w:hAnsi="Times New Roman" w:cs="Times New Roman"/>
        </w:rPr>
        <w:t>lon</w:t>
      </w:r>
      <w:r>
        <w:rPr>
          <w:rFonts w:ascii="Times New Roman" w:hAnsi="Times New Roman" w:cs="Times New Roman"/>
        </w:rPr>
        <w:t xml:space="preserve">g term the overall cost will be </w:t>
      </w:r>
      <w:r w:rsidRPr="003A475D">
        <w:rPr>
          <w:rFonts w:ascii="Times New Roman" w:hAnsi="Times New Roman" w:cs="Times New Roman"/>
        </w:rPr>
        <w:t>reduced</w:t>
      </w:r>
      <w:r>
        <w:rPr>
          <w:rFonts w:ascii="Times New Roman" w:hAnsi="Times New Roman" w:cs="Times New Roman"/>
        </w:rPr>
        <w:t xml:space="preserve">. </w:t>
      </w:r>
    </w:p>
    <w:p w:rsidR="003A475D" w:rsidRDefault="003A475D" w:rsidP="001077B5">
      <w:pPr>
        <w:rPr>
          <w:rFonts w:ascii="Times New Roman" w:hAnsi="Times New Roman" w:cs="Times New Roman"/>
        </w:rPr>
      </w:pPr>
    </w:p>
    <w:p w:rsidR="00AE0E10" w:rsidRPr="008F46C2" w:rsidRDefault="00AE0E10" w:rsidP="00B16D91">
      <w:pPr>
        <w:autoSpaceDE w:val="0"/>
        <w:autoSpaceDN w:val="0"/>
        <w:adjustRightInd w:val="0"/>
        <w:rPr>
          <w:rFonts w:ascii="Times New Roman" w:hAnsi="Times New Roman" w:cs="Times New Roman"/>
        </w:rPr>
      </w:pPr>
    </w:p>
    <w:p w:rsidR="00B16D91" w:rsidRPr="008F46C2" w:rsidRDefault="00B16D91" w:rsidP="00B16D91">
      <w:pPr>
        <w:pStyle w:val="Heading2"/>
        <w:numPr>
          <w:ilvl w:val="0"/>
          <w:numId w:val="0"/>
        </w:numPr>
        <w:spacing w:before="0" w:after="0"/>
        <w:rPr>
          <w:rFonts w:ascii="Times New Roman" w:hAnsi="Times New Roman"/>
          <w:sz w:val="22"/>
          <w:szCs w:val="22"/>
        </w:rPr>
      </w:pPr>
      <w:r w:rsidRPr="008F46C2">
        <w:rPr>
          <w:rFonts w:ascii="Times New Roman" w:hAnsi="Times New Roman"/>
          <w:sz w:val="22"/>
          <w:szCs w:val="22"/>
        </w:rPr>
        <w:t>Gender Issues</w:t>
      </w:r>
    </w:p>
    <w:p w:rsidR="00FE19F9" w:rsidRDefault="00B16D91" w:rsidP="00B16D91">
      <w:pPr>
        <w:autoSpaceDE w:val="0"/>
        <w:autoSpaceDN w:val="0"/>
        <w:adjustRightInd w:val="0"/>
        <w:rPr>
          <w:rFonts w:ascii="Times New Roman" w:hAnsi="Times New Roman" w:cs="Times New Roman"/>
        </w:rPr>
      </w:pPr>
      <w:r w:rsidRPr="008F46C2">
        <w:rPr>
          <w:rFonts w:ascii="Times New Roman" w:hAnsi="Times New Roman" w:cs="Times New Roman"/>
        </w:rPr>
        <w:t>NAFIN will deve</w:t>
      </w:r>
      <w:r w:rsidR="00AE0E10" w:rsidRPr="008F46C2">
        <w:rPr>
          <w:rFonts w:ascii="Times New Roman" w:hAnsi="Times New Roman" w:cs="Times New Roman"/>
        </w:rPr>
        <w:t>lop a Social and Environmental M</w:t>
      </w:r>
      <w:r w:rsidRPr="008F46C2">
        <w:rPr>
          <w:rFonts w:ascii="Times New Roman" w:hAnsi="Times New Roman" w:cs="Times New Roman"/>
        </w:rPr>
        <w:t>anagement System (SGAS) as required by the IDB, where measures for the removal of any barriers to the equal participation of men and women in the benefit of the projects will be included</w:t>
      </w:r>
      <w:r w:rsidR="00FE19F9">
        <w:rPr>
          <w:rFonts w:ascii="Times New Roman" w:hAnsi="Times New Roman" w:cs="Times New Roman"/>
        </w:rPr>
        <w:t xml:space="preserve">. NAFIN will also comply with the requirements for </w:t>
      </w:r>
      <w:r w:rsidRPr="008F46C2">
        <w:rPr>
          <w:rFonts w:ascii="Times New Roman" w:hAnsi="Times New Roman" w:cs="Times New Roman"/>
        </w:rPr>
        <w:t>consultation and compensation, and will actively promote the inclusion of women in the workplace.</w:t>
      </w:r>
      <w:r w:rsidR="00AE0E10" w:rsidRPr="008F46C2">
        <w:rPr>
          <w:rFonts w:ascii="Times New Roman" w:hAnsi="Times New Roman" w:cs="Times New Roman"/>
        </w:rPr>
        <w:t xml:space="preserve"> </w:t>
      </w:r>
    </w:p>
    <w:p w:rsidR="00FE19F9" w:rsidRDefault="00FE19F9" w:rsidP="00B16D91">
      <w:pPr>
        <w:autoSpaceDE w:val="0"/>
        <w:autoSpaceDN w:val="0"/>
        <w:adjustRightInd w:val="0"/>
        <w:rPr>
          <w:rFonts w:ascii="Times New Roman" w:hAnsi="Times New Roman" w:cs="Times New Roman"/>
        </w:rPr>
      </w:pPr>
    </w:p>
    <w:p w:rsidR="00B16D91" w:rsidRPr="008F46C2" w:rsidRDefault="00FE19F9" w:rsidP="00B16D91">
      <w:pPr>
        <w:autoSpaceDE w:val="0"/>
        <w:autoSpaceDN w:val="0"/>
        <w:adjustRightInd w:val="0"/>
        <w:rPr>
          <w:rFonts w:ascii="Times New Roman" w:hAnsi="Times New Roman" w:cs="Times New Roman"/>
        </w:rPr>
      </w:pPr>
      <w:r>
        <w:rPr>
          <w:rFonts w:ascii="Times New Roman" w:hAnsi="Times New Roman" w:cs="Times New Roman"/>
        </w:rPr>
        <w:t>In addition, SENER is currently developing a new framework for public consultation for private sector power generation projects, and seeks to consider women’s participation as an important element of such framework.</w:t>
      </w:r>
      <w:r w:rsidR="00D50DB7" w:rsidRPr="008F46C2">
        <w:rPr>
          <w:rFonts w:ascii="Times New Roman" w:hAnsi="Times New Roman" w:cs="Times New Roman"/>
        </w:rPr>
        <w:t xml:space="preserve"> </w:t>
      </w:r>
    </w:p>
    <w:p w:rsidR="00B16D91" w:rsidRPr="008F46C2" w:rsidRDefault="00B16D91" w:rsidP="00B16D91">
      <w:pPr>
        <w:rPr>
          <w:rFonts w:ascii="Times New Roman" w:hAnsi="Times New Roman" w:cs="Times New Roman"/>
        </w:rPr>
      </w:pPr>
    </w:p>
    <w:p w:rsidR="00B16D91" w:rsidRPr="008F46C2" w:rsidRDefault="00B16D91" w:rsidP="00B16D91">
      <w:pPr>
        <w:rPr>
          <w:rFonts w:ascii="Times New Roman" w:hAnsi="Times New Roman" w:cs="Times New Roman"/>
        </w:rPr>
      </w:pPr>
    </w:p>
    <w:p w:rsidR="006E0F12" w:rsidRPr="008F46C2" w:rsidRDefault="006E0F12" w:rsidP="00B16D91">
      <w:pPr>
        <w:rPr>
          <w:rFonts w:ascii="Times New Roman" w:hAnsi="Times New Roman" w:cs="Times New Roman"/>
        </w:rPr>
      </w:pPr>
    </w:p>
    <w:sectPr w:rsidR="006E0F12" w:rsidRPr="008F46C2" w:rsidSect="004F13C9">
      <w:headerReference w:type="default" r:id="rId11"/>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59" w:rsidRDefault="000F4659" w:rsidP="00B16D91">
      <w:r>
        <w:separator/>
      </w:r>
    </w:p>
  </w:endnote>
  <w:endnote w:type="continuationSeparator" w:id="0">
    <w:p w:rsidR="000F4659" w:rsidRDefault="000F4659" w:rsidP="00B1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59" w:rsidRDefault="000F4659" w:rsidP="00B16D91">
      <w:r>
        <w:separator/>
      </w:r>
    </w:p>
  </w:footnote>
  <w:footnote w:type="continuationSeparator" w:id="0">
    <w:p w:rsidR="000F4659" w:rsidRDefault="000F4659" w:rsidP="00B16D91">
      <w:r>
        <w:continuationSeparator/>
      </w:r>
    </w:p>
  </w:footnote>
  <w:footnote w:id="1">
    <w:p w:rsidR="00B16D91" w:rsidRPr="00D824C8" w:rsidRDefault="00B16D91" w:rsidP="00D824C8">
      <w:pPr>
        <w:pStyle w:val="FootnoteText"/>
        <w:spacing w:after="0"/>
        <w:rPr>
          <w:sz w:val="18"/>
          <w:szCs w:val="18"/>
        </w:rPr>
      </w:pPr>
      <w:r w:rsidRPr="00D824C8">
        <w:rPr>
          <w:rStyle w:val="FootnoteReference"/>
          <w:sz w:val="18"/>
          <w:szCs w:val="18"/>
        </w:rPr>
        <w:footnoteRef/>
      </w:r>
      <w:r w:rsidRPr="00D824C8">
        <w:rPr>
          <w:sz w:val="18"/>
          <w:szCs w:val="18"/>
        </w:rPr>
        <w:t xml:space="preserve"> This amount </w:t>
      </w:r>
      <w:r w:rsidR="005E1C12" w:rsidRPr="00D824C8">
        <w:rPr>
          <w:sz w:val="18"/>
          <w:szCs w:val="18"/>
        </w:rPr>
        <w:t>has been modified by IDB from 34.4M, as an update of the Revision of the IP allocated 2.1 (instead of 2.0 M ) to the FIRA Green Line project.</w:t>
      </w:r>
    </w:p>
  </w:footnote>
  <w:footnote w:id="2">
    <w:p w:rsidR="00B16D91" w:rsidRPr="00D824C8" w:rsidRDefault="00B16D91" w:rsidP="00D824C8">
      <w:pPr>
        <w:pStyle w:val="FootnoteText"/>
        <w:spacing w:after="0"/>
        <w:ind w:left="180" w:hanging="180"/>
        <w:rPr>
          <w:sz w:val="18"/>
          <w:szCs w:val="18"/>
        </w:rPr>
      </w:pPr>
      <w:r w:rsidRPr="00D824C8">
        <w:rPr>
          <w:rStyle w:val="FootnoteReference"/>
          <w:sz w:val="18"/>
          <w:szCs w:val="18"/>
        </w:rPr>
        <w:footnoteRef/>
      </w:r>
      <w:r w:rsidRPr="00D824C8">
        <w:rPr>
          <w:sz w:val="18"/>
          <w:szCs w:val="18"/>
        </w:rPr>
        <w:t xml:space="preserve"> Estimations made using the average emissions factor for electricity in Mexico (0.5 kgCO</w:t>
      </w:r>
      <w:r w:rsidRPr="00D824C8">
        <w:rPr>
          <w:sz w:val="18"/>
          <w:szCs w:val="18"/>
          <w:vertAlign w:val="subscript"/>
        </w:rPr>
        <w:t>2</w:t>
      </w:r>
      <w:r w:rsidRPr="00D824C8">
        <w:rPr>
          <w:sz w:val="18"/>
          <w:szCs w:val="18"/>
        </w:rPr>
        <w:t>/kWh) and a 84% load factor.</w:t>
      </w:r>
    </w:p>
  </w:footnote>
  <w:footnote w:id="3">
    <w:p w:rsidR="007F019E" w:rsidRPr="00D824C8" w:rsidRDefault="007F019E" w:rsidP="00D824C8">
      <w:pPr>
        <w:pStyle w:val="FootnoteText"/>
        <w:spacing w:after="0"/>
        <w:rPr>
          <w:sz w:val="18"/>
          <w:szCs w:val="18"/>
        </w:rPr>
      </w:pPr>
      <w:r w:rsidRPr="00D824C8">
        <w:rPr>
          <w:rStyle w:val="FootnoteReference"/>
          <w:sz w:val="18"/>
          <w:szCs w:val="18"/>
        </w:rPr>
        <w:footnoteRef/>
      </w:r>
      <w:r w:rsidRPr="00D824C8">
        <w:rPr>
          <w:sz w:val="18"/>
          <w:szCs w:val="18"/>
        </w:rPr>
        <w:t xml:space="preserve"> Bit.ly/medec_eng</w:t>
      </w:r>
    </w:p>
  </w:footnote>
  <w:footnote w:id="4">
    <w:p w:rsidR="00B16D91" w:rsidRPr="00AD7FD6" w:rsidRDefault="00B16D91" w:rsidP="00D824C8">
      <w:pPr>
        <w:pStyle w:val="FootnoteText"/>
        <w:spacing w:after="0"/>
        <w:rPr>
          <w:color w:val="000000"/>
          <w:lang w:eastAsia="es-ES"/>
        </w:rPr>
      </w:pPr>
      <w:r w:rsidRPr="00D824C8">
        <w:rPr>
          <w:rStyle w:val="FootnoteReference"/>
          <w:sz w:val="18"/>
          <w:szCs w:val="18"/>
        </w:rPr>
        <w:footnoteRef/>
      </w:r>
      <w:r w:rsidRPr="00D824C8">
        <w:rPr>
          <w:sz w:val="18"/>
          <w:szCs w:val="18"/>
        </w:rPr>
        <w:t xml:space="preserve"> </w:t>
      </w:r>
      <w:r w:rsidRPr="00D824C8">
        <w:rPr>
          <w:color w:val="000000"/>
          <w:sz w:val="18"/>
          <w:szCs w:val="18"/>
          <w:lang w:eastAsia="es-ES"/>
        </w:rPr>
        <w:t xml:space="preserve">See </w:t>
      </w:r>
      <w:hyperlink r:id="rId1" w:history="1">
        <w:r w:rsidRPr="00D824C8">
          <w:rPr>
            <w:rStyle w:val="Hyperlink"/>
            <w:sz w:val="18"/>
            <w:szCs w:val="18"/>
            <w:lang w:eastAsia="es-ES"/>
          </w:rPr>
          <w:t>analysis of the sector in Mexico</w:t>
        </w:r>
      </w:hyperlink>
      <w:r w:rsidRPr="00D824C8">
        <w:rPr>
          <w:color w:val="0000FF"/>
          <w:sz w:val="18"/>
          <w:szCs w:val="18"/>
          <w:lang w:eastAsia="es-ES"/>
        </w:rPr>
        <w:t xml:space="preserve"> </w:t>
      </w:r>
      <w:r w:rsidRPr="00D824C8">
        <w:rPr>
          <w:color w:val="000000"/>
          <w:sz w:val="18"/>
          <w:szCs w:val="18"/>
          <w:lang w:eastAsia="es-ES"/>
        </w:rPr>
        <w:t>(SENER/PwC, 2012).</w:t>
      </w:r>
    </w:p>
  </w:footnote>
  <w:footnote w:id="5">
    <w:p w:rsidR="00B16D91" w:rsidRPr="00D824C8" w:rsidRDefault="00B16D91" w:rsidP="00D824C8">
      <w:pPr>
        <w:pStyle w:val="FootnoteText"/>
        <w:spacing w:after="0"/>
        <w:rPr>
          <w:sz w:val="18"/>
          <w:szCs w:val="18"/>
        </w:rPr>
      </w:pPr>
      <w:r w:rsidRPr="00D824C8">
        <w:rPr>
          <w:rStyle w:val="FootnoteReference"/>
          <w:sz w:val="18"/>
          <w:szCs w:val="18"/>
        </w:rPr>
        <w:footnoteRef/>
      </w:r>
      <w:r w:rsidRPr="00D824C8">
        <w:rPr>
          <w:sz w:val="18"/>
          <w:szCs w:val="18"/>
        </w:rPr>
        <w:t xml:space="preserve"> Additional estimations based on a 70:30 debt to equity ratio, investment costs of US$5 million per well and US$4 million per MW installed, and US$</w:t>
      </w:r>
      <w:r w:rsidR="00833E71" w:rsidRPr="00D824C8">
        <w:rPr>
          <w:sz w:val="18"/>
          <w:szCs w:val="18"/>
        </w:rPr>
        <w:t>120.1</w:t>
      </w:r>
      <w:r w:rsidRPr="00D824C8">
        <w:rPr>
          <w:sz w:val="18"/>
          <w:szCs w:val="18"/>
        </w:rPr>
        <w:t xml:space="preserve"> million financing from the program.</w:t>
      </w:r>
      <w:r w:rsidR="0005175E" w:rsidRPr="00D824C8">
        <w:rPr>
          <w:sz w:val="18"/>
          <w:szCs w:val="18"/>
        </w:rPr>
        <w:t xml:space="preserve"> Financing may come from NAFIN, and from other public or private banks.</w:t>
      </w:r>
    </w:p>
  </w:footnote>
  <w:footnote w:id="6">
    <w:p w:rsidR="00A361AF" w:rsidRPr="00D824C8" w:rsidRDefault="00A361AF" w:rsidP="00D824C8">
      <w:pPr>
        <w:pStyle w:val="FootnoteText"/>
        <w:spacing w:after="0"/>
        <w:rPr>
          <w:sz w:val="18"/>
          <w:szCs w:val="18"/>
        </w:rPr>
      </w:pPr>
      <w:r w:rsidRPr="00D824C8">
        <w:rPr>
          <w:rStyle w:val="FootnoteReference"/>
          <w:sz w:val="18"/>
          <w:szCs w:val="18"/>
        </w:rPr>
        <w:footnoteRef/>
      </w:r>
      <w:r w:rsidRPr="00D824C8">
        <w:rPr>
          <w:sz w:val="18"/>
          <w:szCs w:val="18"/>
        </w:rPr>
        <w:t xml:space="preserve"> And Chile and Colombia</w:t>
      </w:r>
    </w:p>
  </w:footnote>
  <w:footnote w:id="7">
    <w:p w:rsidR="00A361AF" w:rsidRPr="00D824C8" w:rsidRDefault="00A361AF" w:rsidP="00D824C8">
      <w:pPr>
        <w:pStyle w:val="FootnoteText"/>
        <w:spacing w:after="0"/>
        <w:rPr>
          <w:sz w:val="18"/>
          <w:szCs w:val="18"/>
        </w:rPr>
      </w:pPr>
      <w:r w:rsidRPr="00D824C8">
        <w:rPr>
          <w:rStyle w:val="FootnoteReference"/>
          <w:sz w:val="18"/>
          <w:szCs w:val="18"/>
        </w:rPr>
        <w:footnoteRef/>
      </w:r>
      <w:r w:rsidRPr="00D824C8">
        <w:rPr>
          <w:sz w:val="18"/>
          <w:szCs w:val="18"/>
        </w:rPr>
        <w:t xml:space="preserve"> </w:t>
      </w:r>
      <w:hyperlink r:id="rId2" w:history="1">
        <w:r w:rsidRPr="00D824C8">
          <w:rPr>
            <w:rStyle w:val="protocol3"/>
            <w:color w:val="222222"/>
            <w:sz w:val="18"/>
            <w:szCs w:val="18"/>
            <w:specVanish w:val="0"/>
          </w:rPr>
          <w:t>http://</w:t>
        </w:r>
        <w:r w:rsidRPr="00D824C8">
          <w:rPr>
            <w:color w:val="222222"/>
            <w:sz w:val="18"/>
            <w:szCs w:val="18"/>
          </w:rPr>
          <w:t>bit.ly/Geojobs</w:t>
        </w:r>
      </w:hyperlink>
    </w:p>
  </w:footnote>
  <w:footnote w:id="8">
    <w:p w:rsidR="00D824C8" w:rsidRDefault="00B16D91" w:rsidP="00D824C8">
      <w:pPr>
        <w:pStyle w:val="FootnoteText"/>
        <w:spacing w:after="0"/>
        <w:rPr>
          <w:sz w:val="18"/>
          <w:szCs w:val="18"/>
        </w:rPr>
      </w:pPr>
      <w:r w:rsidRPr="00D824C8">
        <w:rPr>
          <w:rStyle w:val="FootnoteReference"/>
          <w:sz w:val="18"/>
          <w:szCs w:val="18"/>
        </w:rPr>
        <w:footnoteRef/>
      </w:r>
      <w:r w:rsidRPr="00D824C8">
        <w:rPr>
          <w:sz w:val="18"/>
          <w:szCs w:val="18"/>
        </w:rPr>
        <w:t xml:space="preserve"> Quantification of the macroeconomic impact has been carried out using the Input-Output methodology, based on the latest Input-Output matrix prepared by the INEGI (Instituto Nacional de Estadística y Geografía de México). </w:t>
      </w:r>
      <w:r w:rsidR="00D824C8">
        <w:rPr>
          <w:sz w:val="18"/>
          <w:szCs w:val="18"/>
        </w:rPr>
        <w:t>(</w:t>
      </w:r>
      <w:hyperlink r:id="rId3" w:history="1">
        <w:r w:rsidR="00D824C8" w:rsidRPr="00585FAE">
          <w:rPr>
            <w:rStyle w:val="Hyperlink"/>
            <w:sz w:val="18"/>
            <w:szCs w:val="18"/>
          </w:rPr>
          <w:t>http://bit.ly/IOModel</w:t>
        </w:r>
      </w:hyperlink>
      <w:r w:rsidR="00D824C8">
        <w:rPr>
          <w:sz w:val="18"/>
          <w:szCs w:val="18"/>
        </w:rPr>
        <w:t>)</w:t>
      </w:r>
    </w:p>
    <w:p w:rsidR="00B16D91" w:rsidRPr="00A0768A" w:rsidRDefault="00B16D91" w:rsidP="00D824C8">
      <w:pPr>
        <w:pStyle w:val="FootnoteText"/>
        <w:spacing w:after="0"/>
        <w:ind w:left="0" w:firstLine="0"/>
      </w:pPr>
      <w:r w:rsidRPr="00A0768A">
        <w:t xml:space="preserve"> </w:t>
      </w:r>
    </w:p>
  </w:footnote>
  <w:footnote w:id="9">
    <w:p w:rsidR="00317969" w:rsidRDefault="00317969" w:rsidP="00790AB4">
      <w:pPr>
        <w:pStyle w:val="FootnoteText"/>
        <w:spacing w:after="0"/>
      </w:pPr>
      <w:r>
        <w:rPr>
          <w:rStyle w:val="FootnoteReference"/>
        </w:rPr>
        <w:footnoteRef/>
      </w:r>
      <w:r>
        <w:t xml:space="preserve"> </w:t>
      </w:r>
      <w:r w:rsidRPr="00317969">
        <w:t>Private sector projects can be developed under four modalities: independent power producer (IPP, under a tender-based system), small producers (capacity under 30 MW), self-suppliers and cogenerators. IPPs and small producers sell all the electricity they generate to CFE.</w:t>
      </w:r>
    </w:p>
  </w:footnote>
  <w:footnote w:id="10">
    <w:p w:rsidR="001031A3" w:rsidRPr="00A0768A" w:rsidRDefault="001031A3" w:rsidP="00790AB4">
      <w:pPr>
        <w:pStyle w:val="FootnoteText"/>
        <w:spacing w:after="0"/>
      </w:pPr>
      <w:r w:rsidRPr="00A0768A">
        <w:rPr>
          <w:rStyle w:val="FootnoteReference"/>
        </w:rPr>
        <w:footnoteRef/>
      </w:r>
      <w:r w:rsidRPr="00A0768A">
        <w:t xml:space="preserve"> The involvement of non-fossil fuels in the generation for public service was app. 18.3% of the energy generated in 2012 (SENER, 2013), so the Energy reform requires investments diversify energy sources and increase the installed generation capacity in Mexico.</w:t>
      </w:r>
    </w:p>
  </w:footnote>
  <w:footnote w:id="11">
    <w:p w:rsidR="00BC51F5" w:rsidRDefault="00BC51F5" w:rsidP="00790AB4">
      <w:pPr>
        <w:pStyle w:val="FootnoteText"/>
        <w:spacing w:after="0"/>
      </w:pPr>
      <w:r>
        <w:rPr>
          <w:rStyle w:val="FootnoteReference"/>
        </w:rPr>
        <w:footnoteRef/>
      </w:r>
      <w:r>
        <w:t xml:space="preserve"> </w:t>
      </w:r>
      <w:r w:rsidRPr="008F46C2">
        <w:t xml:space="preserve">The IDB has supported the Government </w:t>
      </w:r>
      <w:r>
        <w:t>with technical inputs for the Law.</w:t>
      </w:r>
    </w:p>
  </w:footnote>
  <w:footnote w:id="12">
    <w:p w:rsidR="00BC51F5" w:rsidRDefault="00BC51F5" w:rsidP="00790AB4">
      <w:pPr>
        <w:pStyle w:val="FootnoteText"/>
        <w:spacing w:after="0"/>
      </w:pPr>
      <w:r w:rsidRPr="00A0768A">
        <w:rPr>
          <w:rStyle w:val="FootnoteReference"/>
        </w:rPr>
        <w:footnoteRef/>
      </w:r>
      <w:r w:rsidRPr="00A0768A">
        <w:t xml:space="preserve"> Article 27 establishes the right of private actors to engage in generation and distribution of electric energy under the modality of contract with the Mexican State. Transitory disposition number 3 establishes the CFE, while the Reform is finalized, may enter into contracts for electricity transmission and distribution. Transitory Disposition number 11 establishes that the </w:t>
      </w:r>
      <w:r w:rsidR="00FC3DA3">
        <w:t xml:space="preserve">Mexican </w:t>
      </w:r>
      <w:r w:rsidRPr="00A0768A">
        <w:t>Congress shall provide by law the modalities for  recruitment for individuals on behalf of the Nation,  carried out, among others, financing, installation,  maintenance, management, operation and expansion of the  infrastructure to provide public service broadcasting  and distribution of electricity.</w:t>
      </w:r>
    </w:p>
  </w:footnote>
  <w:footnote w:id="13">
    <w:p w:rsidR="00005E09" w:rsidRDefault="00005E09" w:rsidP="00005E09">
      <w:pPr>
        <w:pStyle w:val="FootnoteText"/>
        <w:spacing w:after="0"/>
      </w:pPr>
      <w:r>
        <w:rPr>
          <w:rStyle w:val="FootnoteReference"/>
        </w:rPr>
        <w:footnoteRef/>
      </w:r>
      <w:r>
        <w:t xml:space="preserve"> </w:t>
      </w:r>
      <w:hyperlink r:id="rId4" w:history="1">
        <w:r>
          <w:rPr>
            <w:rStyle w:val="Hyperlink"/>
          </w:rPr>
          <w:t>http://thinkgeoenergy.com/archives/17380</w:t>
        </w:r>
      </w:hyperlink>
    </w:p>
  </w:footnote>
  <w:footnote w:id="14">
    <w:p w:rsidR="001A249E" w:rsidRPr="00D824C8" w:rsidRDefault="001A249E" w:rsidP="001A249E">
      <w:pPr>
        <w:pStyle w:val="FootnoteText"/>
        <w:spacing w:after="0"/>
        <w:rPr>
          <w:sz w:val="18"/>
          <w:szCs w:val="18"/>
        </w:rPr>
      </w:pPr>
      <w:r>
        <w:rPr>
          <w:rStyle w:val="FootnoteReference"/>
        </w:rPr>
        <w:footnoteRef/>
      </w:r>
      <w:r>
        <w:t xml:space="preserve"> </w:t>
      </w:r>
      <w:hyperlink r:id="rId5" w:history="1">
        <w:r w:rsidRPr="00D824C8">
          <w:rPr>
            <w:rStyle w:val="Hyperlink"/>
            <w:sz w:val="18"/>
            <w:szCs w:val="18"/>
          </w:rPr>
          <w:t>http://www.europapress.es/economia/noticia-economia-empresas-enel-firma-mexico-memorando-entendimiento-geotermia-redes-electricas-inteligentes-20140114093033.html</w:t>
        </w:r>
      </w:hyperlink>
      <w:r w:rsidRPr="00D824C8">
        <w:rPr>
          <w:sz w:val="18"/>
          <w:szCs w:val="18"/>
        </w:rPr>
        <w:t>;</w:t>
      </w:r>
    </w:p>
  </w:footnote>
  <w:footnote w:id="15">
    <w:p w:rsidR="001A249E" w:rsidRDefault="001A249E" w:rsidP="001A249E">
      <w:pPr>
        <w:pStyle w:val="FootnoteText"/>
        <w:spacing w:after="0"/>
      </w:pPr>
      <w:r w:rsidRPr="00D824C8">
        <w:rPr>
          <w:rStyle w:val="FootnoteReference"/>
          <w:sz w:val="18"/>
          <w:szCs w:val="18"/>
        </w:rPr>
        <w:footnoteRef/>
      </w:r>
      <w:r w:rsidRPr="00D824C8">
        <w:rPr>
          <w:sz w:val="18"/>
          <w:szCs w:val="18"/>
        </w:rPr>
        <w:t xml:space="preserve"> </w:t>
      </w:r>
      <w:hyperlink r:id="rId6" w:history="1">
        <w:r w:rsidRPr="00D824C8">
          <w:rPr>
            <w:rStyle w:val="Hyperlink"/>
            <w:sz w:val="18"/>
            <w:szCs w:val="18"/>
          </w:rPr>
          <w:t>http://www.energias-renovables.com/articulo/alstom-construira-en-mexico-una-central-geotermica-20131219</w:t>
        </w:r>
      </w:hyperlink>
    </w:p>
  </w:footnote>
  <w:footnote w:id="16">
    <w:p w:rsidR="00AE0E10" w:rsidRPr="00D824C8" w:rsidRDefault="00AE0E10" w:rsidP="00D824C8">
      <w:pPr>
        <w:pStyle w:val="FootnoteText"/>
        <w:spacing w:after="0"/>
        <w:rPr>
          <w:sz w:val="18"/>
          <w:szCs w:val="18"/>
        </w:rPr>
      </w:pPr>
      <w:r w:rsidRPr="00D824C8">
        <w:rPr>
          <w:rStyle w:val="FootnoteReference"/>
          <w:sz w:val="18"/>
          <w:szCs w:val="18"/>
        </w:rPr>
        <w:footnoteRef/>
      </w:r>
      <w:r w:rsidRPr="00D824C8">
        <w:rPr>
          <w:sz w:val="18"/>
          <w:szCs w:val="18"/>
        </w:rPr>
        <w:t xml:space="preserve"> According to the CTF Financing Products, Terms, and Review Procedures, grant financing can be considered on a case-by-case basis for project components with significant risks and innovative financing instruments.</w:t>
      </w:r>
    </w:p>
  </w:footnote>
  <w:footnote w:id="17">
    <w:p w:rsidR="00AE0E10" w:rsidRPr="00D824C8" w:rsidRDefault="00AE0E10" w:rsidP="00D824C8">
      <w:pPr>
        <w:pStyle w:val="FootnoteText"/>
        <w:spacing w:after="0"/>
        <w:rPr>
          <w:sz w:val="18"/>
          <w:szCs w:val="18"/>
        </w:rPr>
      </w:pPr>
      <w:r w:rsidRPr="00D824C8">
        <w:rPr>
          <w:rStyle w:val="FootnoteReference"/>
          <w:sz w:val="18"/>
          <w:szCs w:val="18"/>
        </w:rPr>
        <w:footnoteRef/>
      </w:r>
      <w:r w:rsidRPr="00D824C8">
        <w:rPr>
          <w:sz w:val="18"/>
          <w:szCs w:val="18"/>
        </w:rPr>
        <w:t xml:space="preserve"> The introduction of an insurance mechanism would bring an important component of financial innovation to the program, as experiences in LAC are fairly limited.</w:t>
      </w:r>
    </w:p>
  </w:footnote>
  <w:footnote w:id="18">
    <w:p w:rsidR="00AE0E10" w:rsidRPr="00D824C8" w:rsidRDefault="00AE0E10" w:rsidP="00D824C8">
      <w:pPr>
        <w:pStyle w:val="FootnoteText"/>
        <w:spacing w:after="0"/>
        <w:rPr>
          <w:sz w:val="18"/>
          <w:szCs w:val="18"/>
        </w:rPr>
      </w:pPr>
      <w:r w:rsidRPr="00D824C8">
        <w:rPr>
          <w:rStyle w:val="FootnoteReference"/>
          <w:sz w:val="18"/>
          <w:szCs w:val="18"/>
        </w:rPr>
        <w:footnoteRef/>
      </w:r>
      <w:r w:rsidRPr="00D824C8">
        <w:rPr>
          <w:sz w:val="18"/>
          <w:szCs w:val="18"/>
        </w:rPr>
        <w:t xml:space="preserve"> As part of its strategy for the development of geothermal energy, the Government of Mexico has allocated 150 million pesos, to be managed by NAFIN. CTF resources will top up this existing allocation.</w:t>
      </w:r>
    </w:p>
  </w:footnote>
  <w:footnote w:id="19">
    <w:p w:rsidR="0059152E" w:rsidRDefault="0059152E" w:rsidP="00D824C8">
      <w:pPr>
        <w:pStyle w:val="FootnoteText"/>
        <w:spacing w:after="0"/>
      </w:pPr>
      <w:r w:rsidRPr="00D824C8">
        <w:rPr>
          <w:rStyle w:val="FootnoteReference"/>
          <w:sz w:val="18"/>
          <w:szCs w:val="18"/>
        </w:rPr>
        <w:footnoteRef/>
      </w:r>
      <w:r w:rsidRPr="00D824C8">
        <w:rPr>
          <w:sz w:val="18"/>
          <w:szCs w:val="18"/>
        </w:rPr>
        <w:t xml:space="preserve"> A sustainability analysis of costs and optimal conditions on revolving mechanisms for these resources are under study. Specific criteria, including the size of the subsidy, will depend on each type of instrument and will also have an impact on the number of projects that the program is able to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C9" w:rsidRPr="00A26D29" w:rsidRDefault="00BC0FDF" w:rsidP="00A26D29">
    <w:pPr>
      <w:pStyle w:val="Header"/>
      <w:jc w:val="right"/>
      <w:rPr>
        <w:rFonts w:ascii="Times New Roman" w:hAnsi="Times New Roman" w:cs="Times New Roman"/>
      </w:rPr>
    </w:pPr>
    <w:sdt>
      <w:sdtPr>
        <w:rPr>
          <w:rFonts w:ascii="Times New Roman" w:hAnsi="Times New Roman" w:cs="Times New Roman"/>
        </w:rPr>
        <w:id w:val="1477648756"/>
        <w:docPartObj>
          <w:docPartGallery w:val="Page Numbers (Top of Page)"/>
          <w:docPartUnique/>
        </w:docPartObj>
      </w:sdtPr>
      <w:sdtEndPr/>
      <w:sdtContent>
        <w:r w:rsidR="00A26D29" w:rsidRPr="00FC3DA3">
          <w:rPr>
            <w:rFonts w:ascii="Times New Roman" w:hAnsi="Times New Roman" w:cs="Times New Roman"/>
          </w:rPr>
          <w:t xml:space="preserve">Page </w:t>
        </w:r>
        <w:r w:rsidR="00A26D29" w:rsidRPr="00FC3DA3">
          <w:rPr>
            <w:rFonts w:ascii="Times New Roman" w:hAnsi="Times New Roman" w:cs="Times New Roman"/>
            <w:b/>
            <w:bCs/>
            <w:sz w:val="24"/>
            <w:szCs w:val="24"/>
          </w:rPr>
          <w:fldChar w:fldCharType="begin"/>
        </w:r>
        <w:r w:rsidR="00A26D29" w:rsidRPr="00FC3DA3">
          <w:rPr>
            <w:rFonts w:ascii="Times New Roman" w:hAnsi="Times New Roman" w:cs="Times New Roman"/>
            <w:b/>
            <w:bCs/>
          </w:rPr>
          <w:instrText xml:space="preserve"> PAGE </w:instrText>
        </w:r>
        <w:r w:rsidR="00A26D29" w:rsidRPr="00FC3DA3">
          <w:rPr>
            <w:rFonts w:ascii="Times New Roman" w:hAnsi="Times New Roman" w:cs="Times New Roman"/>
            <w:b/>
            <w:bCs/>
            <w:sz w:val="24"/>
            <w:szCs w:val="24"/>
          </w:rPr>
          <w:fldChar w:fldCharType="separate"/>
        </w:r>
        <w:r>
          <w:rPr>
            <w:rFonts w:ascii="Times New Roman" w:hAnsi="Times New Roman" w:cs="Times New Roman"/>
            <w:b/>
            <w:bCs/>
            <w:noProof/>
          </w:rPr>
          <w:t>6</w:t>
        </w:r>
        <w:r w:rsidR="00A26D29" w:rsidRPr="00FC3DA3">
          <w:rPr>
            <w:rFonts w:ascii="Times New Roman" w:hAnsi="Times New Roman" w:cs="Times New Roman"/>
            <w:b/>
            <w:bCs/>
            <w:sz w:val="24"/>
            <w:szCs w:val="24"/>
          </w:rPr>
          <w:fldChar w:fldCharType="end"/>
        </w:r>
        <w:r w:rsidR="00A26D29" w:rsidRPr="00FC3DA3">
          <w:rPr>
            <w:rFonts w:ascii="Times New Roman" w:hAnsi="Times New Roman" w:cs="Times New Roman"/>
          </w:rPr>
          <w:t xml:space="preserve"> of </w:t>
        </w:r>
        <w:r w:rsidR="00A26D29" w:rsidRPr="00FC3DA3">
          <w:rPr>
            <w:rFonts w:ascii="Times New Roman" w:hAnsi="Times New Roman" w:cs="Times New Roman"/>
            <w:b/>
            <w:bCs/>
            <w:sz w:val="24"/>
            <w:szCs w:val="24"/>
          </w:rPr>
          <w:fldChar w:fldCharType="begin"/>
        </w:r>
        <w:r w:rsidR="00A26D29" w:rsidRPr="00FC3DA3">
          <w:rPr>
            <w:rFonts w:ascii="Times New Roman" w:hAnsi="Times New Roman" w:cs="Times New Roman"/>
            <w:b/>
            <w:bCs/>
          </w:rPr>
          <w:instrText xml:space="preserve"> NUMPAGES  </w:instrText>
        </w:r>
        <w:r w:rsidR="00A26D29" w:rsidRPr="00FC3DA3">
          <w:rPr>
            <w:rFonts w:ascii="Times New Roman" w:hAnsi="Times New Roman" w:cs="Times New Roman"/>
            <w:b/>
            <w:bCs/>
            <w:sz w:val="24"/>
            <w:szCs w:val="24"/>
          </w:rPr>
          <w:fldChar w:fldCharType="separate"/>
        </w:r>
        <w:r>
          <w:rPr>
            <w:rFonts w:ascii="Times New Roman" w:hAnsi="Times New Roman" w:cs="Times New Roman"/>
            <w:b/>
            <w:bCs/>
            <w:noProof/>
          </w:rPr>
          <w:t>6</w:t>
        </w:r>
        <w:r w:rsidR="00A26D29" w:rsidRPr="00FC3DA3">
          <w:rPr>
            <w:rFonts w:ascii="Times New Roman" w:hAnsi="Times New Roman" w:cs="Times New Roman"/>
            <w:b/>
            <w:bCs/>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AC8"/>
    <w:multiLevelType w:val="hybridMultilevel"/>
    <w:tmpl w:val="17E61750"/>
    <w:lvl w:ilvl="0" w:tplc="A11AD6B8">
      <w:start w:val="1"/>
      <w:numFmt w:val="lowerRoman"/>
      <w:lvlText w:val="(%1)"/>
      <w:lvlJc w:val="left"/>
      <w:pPr>
        <w:ind w:left="1080" w:hanging="360"/>
      </w:pPr>
      <w:rPr>
        <w:rFonts w:hint="default"/>
      </w:rPr>
    </w:lvl>
    <w:lvl w:ilvl="1" w:tplc="C8BC8050">
      <w:start w:val="1"/>
      <w:numFmt w:val="lowerLetter"/>
      <w:lvlText w:val="%2."/>
      <w:lvlJc w:val="left"/>
      <w:pPr>
        <w:ind w:left="1800" w:hanging="360"/>
      </w:pPr>
    </w:lvl>
    <w:lvl w:ilvl="2" w:tplc="1B0A9DF4" w:tentative="1">
      <w:start w:val="1"/>
      <w:numFmt w:val="lowerRoman"/>
      <w:lvlText w:val="%3."/>
      <w:lvlJc w:val="right"/>
      <w:pPr>
        <w:ind w:left="2520" w:hanging="180"/>
      </w:pPr>
    </w:lvl>
    <w:lvl w:ilvl="3" w:tplc="364A3B02" w:tentative="1">
      <w:start w:val="1"/>
      <w:numFmt w:val="decimal"/>
      <w:lvlText w:val="%4."/>
      <w:lvlJc w:val="left"/>
      <w:pPr>
        <w:ind w:left="3240" w:hanging="360"/>
      </w:pPr>
    </w:lvl>
    <w:lvl w:ilvl="4" w:tplc="06C897F0" w:tentative="1">
      <w:start w:val="1"/>
      <w:numFmt w:val="lowerLetter"/>
      <w:lvlText w:val="%5."/>
      <w:lvlJc w:val="left"/>
      <w:pPr>
        <w:ind w:left="3960" w:hanging="360"/>
      </w:pPr>
    </w:lvl>
    <w:lvl w:ilvl="5" w:tplc="44ACDDD6" w:tentative="1">
      <w:start w:val="1"/>
      <w:numFmt w:val="lowerRoman"/>
      <w:lvlText w:val="%6."/>
      <w:lvlJc w:val="right"/>
      <w:pPr>
        <w:ind w:left="4680" w:hanging="180"/>
      </w:pPr>
    </w:lvl>
    <w:lvl w:ilvl="6" w:tplc="17427E9C" w:tentative="1">
      <w:start w:val="1"/>
      <w:numFmt w:val="decimal"/>
      <w:lvlText w:val="%7."/>
      <w:lvlJc w:val="left"/>
      <w:pPr>
        <w:ind w:left="5400" w:hanging="360"/>
      </w:pPr>
    </w:lvl>
    <w:lvl w:ilvl="7" w:tplc="9830175E" w:tentative="1">
      <w:start w:val="1"/>
      <w:numFmt w:val="lowerLetter"/>
      <w:lvlText w:val="%8."/>
      <w:lvlJc w:val="left"/>
      <w:pPr>
        <w:ind w:left="6120" w:hanging="360"/>
      </w:pPr>
    </w:lvl>
    <w:lvl w:ilvl="8" w:tplc="C1EE6C86" w:tentative="1">
      <w:start w:val="1"/>
      <w:numFmt w:val="lowerRoman"/>
      <w:lvlText w:val="%9."/>
      <w:lvlJc w:val="right"/>
      <w:pPr>
        <w:ind w:left="6840" w:hanging="180"/>
      </w:pPr>
    </w:lvl>
  </w:abstractNum>
  <w:abstractNum w:abstractNumId="1">
    <w:nsid w:val="2D042FA0"/>
    <w:multiLevelType w:val="hybridMultilevel"/>
    <w:tmpl w:val="6EC4CD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74C74592"/>
    <w:multiLevelType w:val="multilevel"/>
    <w:tmpl w:val="C542FBF2"/>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3870"/>
        </w:tabs>
        <w:ind w:left="351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nsid w:val="75424205"/>
    <w:multiLevelType w:val="multilevel"/>
    <w:tmpl w:val="A244AB66"/>
    <w:lvl w:ilvl="0">
      <w:start w:val="1"/>
      <w:numFmt w:val="upperRoman"/>
      <w:lvlRestart w:val="0"/>
      <w:pStyle w:val="Chapter"/>
      <w:lvlText w:val="%1."/>
      <w:lvlJc w:val="center"/>
      <w:pPr>
        <w:tabs>
          <w:tab w:val="num" w:pos="1368"/>
        </w:tabs>
        <w:ind w:left="720" w:firstLine="288"/>
      </w:pPr>
      <w:rPr>
        <w:b/>
        <w:i w:val="0"/>
      </w:rPr>
    </w:lvl>
    <w:lvl w:ilvl="1">
      <w:start w:val="1"/>
      <w:numFmt w:val="decimal"/>
      <w:pStyle w:val="Paragraph"/>
      <w:isLgl/>
      <w:lvlText w:val="%1.%2"/>
      <w:lvlJc w:val="left"/>
      <w:pPr>
        <w:tabs>
          <w:tab w:val="num" w:pos="2016"/>
        </w:tabs>
        <w:ind w:left="2016" w:hanging="1296"/>
      </w:pPr>
    </w:lvl>
    <w:lvl w:ilvl="2">
      <w:start w:val="1"/>
      <w:numFmt w:val="lowerLetter"/>
      <w:pStyle w:val="subpar"/>
      <w:lvlText w:val="%3."/>
      <w:lvlJc w:val="left"/>
      <w:pPr>
        <w:tabs>
          <w:tab w:val="num" w:pos="1872"/>
        </w:tabs>
        <w:ind w:left="1872" w:hanging="432"/>
      </w:pPr>
    </w:lvl>
    <w:lvl w:ilvl="3">
      <w:start w:val="1"/>
      <w:numFmt w:val="lowerRoman"/>
      <w:pStyle w:val="SubSubPar"/>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91"/>
    <w:rsid w:val="00005E09"/>
    <w:rsid w:val="00027C23"/>
    <w:rsid w:val="0003561B"/>
    <w:rsid w:val="00042F89"/>
    <w:rsid w:val="00045FC4"/>
    <w:rsid w:val="0005175E"/>
    <w:rsid w:val="000C3CF3"/>
    <w:rsid w:val="000D3EC2"/>
    <w:rsid w:val="000E1695"/>
    <w:rsid w:val="000F4659"/>
    <w:rsid w:val="000F6D53"/>
    <w:rsid w:val="001031A3"/>
    <w:rsid w:val="001077B5"/>
    <w:rsid w:val="0016593A"/>
    <w:rsid w:val="001A249E"/>
    <w:rsid w:val="00317969"/>
    <w:rsid w:val="003A2871"/>
    <w:rsid w:val="003A475D"/>
    <w:rsid w:val="0043139A"/>
    <w:rsid w:val="00437A71"/>
    <w:rsid w:val="004F13C9"/>
    <w:rsid w:val="0056125F"/>
    <w:rsid w:val="005708A5"/>
    <w:rsid w:val="0059152E"/>
    <w:rsid w:val="005E1C12"/>
    <w:rsid w:val="006104A6"/>
    <w:rsid w:val="006279C4"/>
    <w:rsid w:val="0067323F"/>
    <w:rsid w:val="006C3006"/>
    <w:rsid w:val="006E0F12"/>
    <w:rsid w:val="00703FB8"/>
    <w:rsid w:val="007362E9"/>
    <w:rsid w:val="00790AB4"/>
    <w:rsid w:val="007E27B8"/>
    <w:rsid w:val="007F019E"/>
    <w:rsid w:val="00806DAE"/>
    <w:rsid w:val="008149BD"/>
    <w:rsid w:val="00833E71"/>
    <w:rsid w:val="00842379"/>
    <w:rsid w:val="00875B74"/>
    <w:rsid w:val="00881C37"/>
    <w:rsid w:val="008C3A50"/>
    <w:rsid w:val="008F46C2"/>
    <w:rsid w:val="00917E5E"/>
    <w:rsid w:val="00971DFB"/>
    <w:rsid w:val="00A26D29"/>
    <w:rsid w:val="00A361AF"/>
    <w:rsid w:val="00AE0E10"/>
    <w:rsid w:val="00B16D91"/>
    <w:rsid w:val="00BC0FDF"/>
    <w:rsid w:val="00BC51F5"/>
    <w:rsid w:val="00BF2321"/>
    <w:rsid w:val="00C17AB0"/>
    <w:rsid w:val="00C607BC"/>
    <w:rsid w:val="00CC382A"/>
    <w:rsid w:val="00CD4B8C"/>
    <w:rsid w:val="00D50DB7"/>
    <w:rsid w:val="00D824C8"/>
    <w:rsid w:val="00DE2D96"/>
    <w:rsid w:val="00E03B11"/>
    <w:rsid w:val="00E11ED9"/>
    <w:rsid w:val="00E41EA5"/>
    <w:rsid w:val="00E566D9"/>
    <w:rsid w:val="00EA5987"/>
    <w:rsid w:val="00EC084E"/>
    <w:rsid w:val="00EE1177"/>
    <w:rsid w:val="00F82551"/>
    <w:rsid w:val="00FA7E13"/>
    <w:rsid w:val="00FC3DA3"/>
    <w:rsid w:val="00FE19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91"/>
    <w:pPr>
      <w:spacing w:after="0" w:line="240" w:lineRule="auto"/>
      <w:jc w:val="both"/>
    </w:pPr>
    <w:rPr>
      <w:lang w:val="en-US"/>
    </w:rPr>
  </w:style>
  <w:style w:type="paragraph" w:styleId="Heading1">
    <w:name w:val="heading 1"/>
    <w:basedOn w:val="Normal"/>
    <w:next w:val="Normal"/>
    <w:link w:val="Heading1Char"/>
    <w:uiPriority w:val="9"/>
    <w:qFormat/>
    <w:rsid w:val="00B16D91"/>
    <w:pPr>
      <w:keepNext/>
      <w:numPr>
        <w:numId w:val="1"/>
      </w:numPr>
      <w:spacing w:before="240" w:after="60"/>
      <w:jc w:val="left"/>
      <w:outlineLvl w:val="0"/>
    </w:pPr>
    <w:rPr>
      <w:rFonts w:ascii="Arial" w:eastAsia="Times New Roman" w:hAnsi="Arial" w:cs="Times New Roman"/>
      <w:b/>
      <w:kern w:val="28"/>
      <w:sz w:val="28"/>
      <w:szCs w:val="24"/>
    </w:rPr>
  </w:style>
  <w:style w:type="paragraph" w:styleId="Heading2">
    <w:name w:val="heading 2"/>
    <w:basedOn w:val="Normal"/>
    <w:next w:val="Normal"/>
    <w:link w:val="Heading2Char"/>
    <w:uiPriority w:val="9"/>
    <w:qFormat/>
    <w:rsid w:val="00B16D91"/>
    <w:pPr>
      <w:keepNext/>
      <w:numPr>
        <w:ilvl w:val="1"/>
        <w:numId w:val="1"/>
      </w:numPr>
      <w:tabs>
        <w:tab w:val="clear" w:pos="3870"/>
        <w:tab w:val="num" w:pos="1080"/>
      </w:tabs>
      <w:spacing w:before="240" w:after="60"/>
      <w:ind w:left="720"/>
      <w:jc w:val="left"/>
      <w:outlineLvl w:val="1"/>
    </w:pPr>
    <w:rPr>
      <w:rFonts w:ascii="Arial" w:eastAsia="Times New Roman" w:hAnsi="Arial" w:cs="Times New Roman"/>
      <w:b/>
      <w:i/>
      <w:sz w:val="24"/>
      <w:szCs w:val="24"/>
    </w:rPr>
  </w:style>
  <w:style w:type="paragraph" w:styleId="Heading3">
    <w:name w:val="heading 3"/>
    <w:basedOn w:val="Normal"/>
    <w:next w:val="Normal"/>
    <w:link w:val="Heading3Char"/>
    <w:uiPriority w:val="9"/>
    <w:qFormat/>
    <w:rsid w:val="00B16D91"/>
    <w:pPr>
      <w:keepNext/>
      <w:numPr>
        <w:ilvl w:val="2"/>
        <w:numId w:val="1"/>
      </w:numPr>
      <w:spacing w:before="240" w:after="60"/>
      <w:jc w:val="left"/>
      <w:outlineLvl w:val="2"/>
    </w:pPr>
    <w:rPr>
      <w:rFonts w:ascii="Arial" w:eastAsia="Times New Roman" w:hAnsi="Arial" w:cs="Times New Roman"/>
      <w:sz w:val="24"/>
      <w:szCs w:val="24"/>
    </w:rPr>
  </w:style>
  <w:style w:type="paragraph" w:styleId="Heading4">
    <w:name w:val="heading 4"/>
    <w:basedOn w:val="Normal"/>
    <w:next w:val="Normal"/>
    <w:link w:val="Heading4Char"/>
    <w:uiPriority w:val="9"/>
    <w:qFormat/>
    <w:rsid w:val="00B16D91"/>
    <w:pPr>
      <w:keepNext/>
      <w:numPr>
        <w:ilvl w:val="3"/>
        <w:numId w:val="1"/>
      </w:numPr>
      <w:spacing w:before="240" w:after="60"/>
      <w:jc w:val="left"/>
      <w:outlineLvl w:val="3"/>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D91"/>
    <w:rPr>
      <w:rFonts w:ascii="Arial" w:eastAsia="Times New Roman" w:hAnsi="Arial" w:cs="Times New Roman"/>
      <w:b/>
      <w:kern w:val="28"/>
      <w:sz w:val="28"/>
      <w:szCs w:val="24"/>
      <w:lang w:val="en-US"/>
    </w:rPr>
  </w:style>
  <w:style w:type="character" w:customStyle="1" w:styleId="Heading2Char">
    <w:name w:val="Heading 2 Char"/>
    <w:basedOn w:val="DefaultParagraphFont"/>
    <w:link w:val="Heading2"/>
    <w:uiPriority w:val="9"/>
    <w:rsid w:val="00B16D91"/>
    <w:rPr>
      <w:rFonts w:ascii="Arial" w:eastAsia="Times New Roman" w:hAnsi="Arial" w:cs="Times New Roman"/>
      <w:b/>
      <w:i/>
      <w:sz w:val="24"/>
      <w:szCs w:val="24"/>
      <w:lang w:val="en-US"/>
    </w:rPr>
  </w:style>
  <w:style w:type="character" w:customStyle="1" w:styleId="Heading3Char">
    <w:name w:val="Heading 3 Char"/>
    <w:basedOn w:val="DefaultParagraphFont"/>
    <w:link w:val="Heading3"/>
    <w:uiPriority w:val="9"/>
    <w:rsid w:val="00B16D91"/>
    <w:rPr>
      <w:rFonts w:ascii="Arial" w:eastAsia="Times New Roman" w:hAnsi="Arial" w:cs="Times New Roman"/>
      <w:sz w:val="24"/>
      <w:szCs w:val="24"/>
      <w:lang w:val="en-US"/>
    </w:rPr>
  </w:style>
  <w:style w:type="character" w:customStyle="1" w:styleId="Heading4Char">
    <w:name w:val="Heading 4 Char"/>
    <w:basedOn w:val="DefaultParagraphFont"/>
    <w:link w:val="Heading4"/>
    <w:uiPriority w:val="9"/>
    <w:rsid w:val="00B16D91"/>
    <w:rPr>
      <w:rFonts w:ascii="Arial" w:eastAsia="Times New Roman" w:hAnsi="Arial" w:cs="Times New Roman"/>
      <w:b/>
      <w:sz w:val="24"/>
      <w:szCs w:val="24"/>
      <w:lang w:val="en-US"/>
    </w:rPr>
  </w:style>
  <w:style w:type="paragraph" w:customStyle="1" w:styleId="Chapter">
    <w:name w:val="Chapter"/>
    <w:basedOn w:val="Normal"/>
    <w:next w:val="Normal"/>
    <w:link w:val="ChapterChar"/>
    <w:rsid w:val="00B16D91"/>
    <w:pPr>
      <w:keepNext/>
      <w:numPr>
        <w:numId w:val="2"/>
      </w:numPr>
      <w:tabs>
        <w:tab w:val="left" w:pos="1440"/>
      </w:tabs>
      <w:spacing w:before="240" w:after="240"/>
      <w:jc w:val="center"/>
    </w:pPr>
    <w:rPr>
      <w:rFonts w:ascii="Times New Roman" w:hAnsi="Times New Roman" w:cs="Times New Roman"/>
      <w:b/>
      <w:smallCaps/>
      <w:sz w:val="24"/>
      <w:szCs w:val="24"/>
    </w:rPr>
  </w:style>
  <w:style w:type="character" w:customStyle="1" w:styleId="ChapterChar">
    <w:name w:val="Chapter Char"/>
    <w:basedOn w:val="DefaultParagraphFont"/>
    <w:link w:val="Chapter"/>
    <w:rsid w:val="00B16D91"/>
    <w:rPr>
      <w:rFonts w:ascii="Times New Roman" w:hAnsi="Times New Roman" w:cs="Times New Roman"/>
      <w:b/>
      <w:smallCaps/>
      <w:sz w:val="24"/>
      <w:szCs w:val="24"/>
      <w:lang w:val="en-US"/>
    </w:rPr>
  </w:style>
  <w:style w:type="paragraph" w:customStyle="1" w:styleId="Paragraph">
    <w:name w:val="Paragraph"/>
    <w:aliases w:val="paragraph,p,PARAGRAPH,PG,pa,at"/>
    <w:basedOn w:val="BodyTextIndent"/>
    <w:link w:val="ParagraphChar"/>
    <w:qFormat/>
    <w:rsid w:val="00B16D91"/>
    <w:pPr>
      <w:numPr>
        <w:ilvl w:val="1"/>
        <w:numId w:val="2"/>
      </w:numPr>
      <w:tabs>
        <w:tab w:val="clear" w:pos="2016"/>
        <w:tab w:val="num" w:pos="720"/>
      </w:tabs>
      <w:spacing w:before="120"/>
      <w:ind w:left="720" w:hanging="720"/>
      <w:outlineLvl w:val="1"/>
    </w:pPr>
    <w:rPr>
      <w:rFonts w:ascii="Times New Roman" w:hAnsi="Times New Roman" w:cs="Times New Roman"/>
      <w:sz w:val="24"/>
      <w:szCs w:val="24"/>
    </w:rPr>
  </w:style>
  <w:style w:type="character" w:customStyle="1" w:styleId="ParagraphChar">
    <w:name w:val="Paragraph Char"/>
    <w:basedOn w:val="DefaultParagraphFont"/>
    <w:link w:val="Paragraph"/>
    <w:rsid w:val="00B16D91"/>
    <w:rPr>
      <w:rFonts w:ascii="Times New Roman" w:hAnsi="Times New Roman" w:cs="Times New Roman"/>
      <w:sz w:val="24"/>
      <w:szCs w:val="24"/>
      <w:lang w:val="en-US"/>
    </w:rPr>
  </w:style>
  <w:style w:type="paragraph" w:customStyle="1" w:styleId="subpar">
    <w:name w:val="subpar"/>
    <w:basedOn w:val="BodyTextIndent3"/>
    <w:rsid w:val="00B16D91"/>
    <w:pPr>
      <w:numPr>
        <w:ilvl w:val="2"/>
        <w:numId w:val="2"/>
      </w:numPr>
      <w:tabs>
        <w:tab w:val="clear" w:pos="1872"/>
        <w:tab w:val="num" w:pos="360"/>
        <w:tab w:val="num" w:pos="1152"/>
      </w:tabs>
      <w:spacing w:before="120"/>
      <w:ind w:left="1152" w:firstLine="0"/>
      <w:outlineLvl w:val="2"/>
    </w:pPr>
    <w:rPr>
      <w:rFonts w:ascii="Times New Roman" w:hAnsi="Times New Roman" w:cs="Times New Roman"/>
      <w:sz w:val="24"/>
      <w:szCs w:val="24"/>
    </w:rPr>
  </w:style>
  <w:style w:type="paragraph" w:customStyle="1" w:styleId="SubSubPar">
    <w:name w:val="SubSubPar"/>
    <w:basedOn w:val="subpar"/>
    <w:rsid w:val="00B16D91"/>
    <w:pPr>
      <w:numPr>
        <w:ilvl w:val="3"/>
      </w:numPr>
      <w:tabs>
        <w:tab w:val="clear" w:pos="2304"/>
        <w:tab w:val="left" w:pos="0"/>
        <w:tab w:val="num" w:pos="360"/>
        <w:tab w:val="num" w:pos="1152"/>
        <w:tab w:val="num" w:pos="1296"/>
      </w:tabs>
      <w:ind w:left="1296"/>
    </w:p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qFormat/>
    <w:rsid w:val="00B16D91"/>
    <w:pPr>
      <w:keepNext/>
      <w:keepLines/>
      <w:spacing w:after="120"/>
      <w:ind w:left="288" w:hanging="288"/>
    </w:pPr>
    <w:rPr>
      <w:rFonts w:ascii="Times New Roman" w:hAnsi="Times New Roman" w:cs="Times New Roman"/>
      <w:spacing w:val="-3"/>
      <w:sz w:val="20"/>
      <w:szCs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B16D91"/>
    <w:rPr>
      <w:rFonts w:ascii="Times New Roman" w:hAnsi="Times New Roman" w:cs="Times New Roman"/>
      <w:spacing w:val="-3"/>
      <w:sz w:val="20"/>
      <w:szCs w:val="20"/>
      <w:lang w:val="en-US"/>
    </w:rPr>
  </w:style>
  <w:style w:type="character" w:styleId="FootnoteReference">
    <w:name w:val="footnote reference"/>
    <w:aliases w:val="titulo 2,FC,referencia nota al pie,Fußnotenzeichen DISS,ftref,Footnote Reference Number,Footnote Reference_LVL6,Footnote Reference_LVL61,Footnote Reference_LVL62,Footnote Reference_LVL63,Footnote Reference_LVL64,16 Point"/>
    <w:basedOn w:val="DefaultParagraphFont"/>
    <w:uiPriority w:val="99"/>
    <w:unhideWhenUsed/>
    <w:rsid w:val="00B16D91"/>
    <w:rPr>
      <w:vertAlign w:val="superscript"/>
    </w:rPr>
  </w:style>
  <w:style w:type="paragraph" w:styleId="BodyTextIndent">
    <w:name w:val="Body Text Indent"/>
    <w:basedOn w:val="Normal"/>
    <w:link w:val="BodyTextIndentChar"/>
    <w:uiPriority w:val="99"/>
    <w:semiHidden/>
    <w:unhideWhenUsed/>
    <w:rsid w:val="00B16D91"/>
    <w:pPr>
      <w:spacing w:after="120"/>
      <w:ind w:left="360"/>
    </w:pPr>
  </w:style>
  <w:style w:type="character" w:customStyle="1" w:styleId="BodyTextIndentChar">
    <w:name w:val="Body Text Indent Char"/>
    <w:basedOn w:val="DefaultParagraphFont"/>
    <w:link w:val="BodyTextIndent"/>
    <w:uiPriority w:val="99"/>
    <w:semiHidden/>
    <w:rsid w:val="00B16D91"/>
    <w:rPr>
      <w:lang w:val="en-US"/>
    </w:rPr>
  </w:style>
  <w:style w:type="paragraph" w:styleId="BodyTextIndent3">
    <w:name w:val="Body Text Indent 3"/>
    <w:basedOn w:val="Normal"/>
    <w:link w:val="BodyTextIndent3Char"/>
    <w:uiPriority w:val="99"/>
    <w:semiHidden/>
    <w:unhideWhenUsed/>
    <w:rsid w:val="00B16D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6D91"/>
    <w:rPr>
      <w:sz w:val="16"/>
      <w:szCs w:val="16"/>
      <w:lang w:val="en-US"/>
    </w:rPr>
  </w:style>
  <w:style w:type="character" w:styleId="Hyperlink">
    <w:name w:val="Hyperlink"/>
    <w:basedOn w:val="DefaultParagraphFont"/>
    <w:uiPriority w:val="99"/>
    <w:unhideWhenUsed/>
    <w:rsid w:val="00B16D91"/>
    <w:rPr>
      <w:color w:val="0000FF" w:themeColor="hyperlink"/>
      <w:u w:val="single"/>
    </w:rPr>
  </w:style>
  <w:style w:type="paragraph" w:customStyle="1" w:styleId="Numberedparagraph">
    <w:name w:val="Numbered paragraph"/>
    <w:basedOn w:val="Normal"/>
    <w:qFormat/>
    <w:rsid w:val="00B16D91"/>
    <w:pPr>
      <w:tabs>
        <w:tab w:val="left" w:pos="432"/>
        <w:tab w:val="num" w:pos="576"/>
      </w:tabs>
      <w:spacing w:before="120"/>
    </w:pPr>
    <w:rPr>
      <w:rFonts w:ascii="Times New Roman" w:eastAsia="Times New Roman" w:hAnsi="Times New Roman" w:cs="Times New Roman"/>
      <w:szCs w:val="24"/>
    </w:rPr>
  </w:style>
  <w:style w:type="paragraph" w:styleId="Header">
    <w:name w:val="header"/>
    <w:basedOn w:val="Normal"/>
    <w:link w:val="HeaderChar"/>
    <w:uiPriority w:val="99"/>
    <w:unhideWhenUsed/>
    <w:rsid w:val="004F13C9"/>
    <w:pPr>
      <w:tabs>
        <w:tab w:val="center" w:pos="4513"/>
        <w:tab w:val="right" w:pos="9026"/>
      </w:tabs>
    </w:pPr>
  </w:style>
  <w:style w:type="character" w:customStyle="1" w:styleId="HeaderChar">
    <w:name w:val="Header Char"/>
    <w:basedOn w:val="DefaultParagraphFont"/>
    <w:link w:val="Header"/>
    <w:uiPriority w:val="99"/>
    <w:rsid w:val="004F13C9"/>
    <w:rPr>
      <w:lang w:val="en-US"/>
    </w:rPr>
  </w:style>
  <w:style w:type="paragraph" w:styleId="Footer">
    <w:name w:val="footer"/>
    <w:basedOn w:val="Normal"/>
    <w:link w:val="FooterChar"/>
    <w:uiPriority w:val="99"/>
    <w:unhideWhenUsed/>
    <w:rsid w:val="004F13C9"/>
    <w:pPr>
      <w:tabs>
        <w:tab w:val="center" w:pos="4513"/>
        <w:tab w:val="right" w:pos="9026"/>
      </w:tabs>
    </w:pPr>
  </w:style>
  <w:style w:type="character" w:customStyle="1" w:styleId="FooterChar">
    <w:name w:val="Footer Char"/>
    <w:basedOn w:val="DefaultParagraphFont"/>
    <w:link w:val="Footer"/>
    <w:uiPriority w:val="99"/>
    <w:rsid w:val="004F13C9"/>
    <w:rPr>
      <w:lang w:val="en-US"/>
    </w:rPr>
  </w:style>
  <w:style w:type="paragraph" w:styleId="ListParagraph">
    <w:name w:val="List Paragraph"/>
    <w:basedOn w:val="Normal"/>
    <w:uiPriority w:val="34"/>
    <w:qFormat/>
    <w:rsid w:val="00E566D9"/>
    <w:pPr>
      <w:ind w:left="720"/>
      <w:jc w:val="left"/>
    </w:pPr>
    <w:rPr>
      <w:rFonts w:ascii="Times New Roman" w:hAnsi="Times New Roman" w:cs="Times New Roman"/>
      <w:sz w:val="24"/>
      <w:szCs w:val="24"/>
      <w:lang w:val="es-ES" w:eastAsia="es-ES"/>
    </w:rPr>
  </w:style>
  <w:style w:type="paragraph" w:styleId="Revision">
    <w:name w:val="Revision"/>
    <w:hidden/>
    <w:uiPriority w:val="99"/>
    <w:semiHidden/>
    <w:rsid w:val="00317969"/>
    <w:pPr>
      <w:spacing w:after="0" w:line="240" w:lineRule="auto"/>
    </w:pPr>
    <w:rPr>
      <w:lang w:val="en-US"/>
    </w:rPr>
  </w:style>
  <w:style w:type="paragraph" w:styleId="BalloonText">
    <w:name w:val="Balloon Text"/>
    <w:basedOn w:val="Normal"/>
    <w:link w:val="BalloonTextChar"/>
    <w:uiPriority w:val="99"/>
    <w:semiHidden/>
    <w:unhideWhenUsed/>
    <w:rsid w:val="00317969"/>
    <w:rPr>
      <w:rFonts w:ascii="Tahoma" w:hAnsi="Tahoma" w:cs="Tahoma"/>
      <w:sz w:val="16"/>
      <w:szCs w:val="16"/>
    </w:rPr>
  </w:style>
  <w:style w:type="character" w:customStyle="1" w:styleId="BalloonTextChar">
    <w:name w:val="Balloon Text Char"/>
    <w:basedOn w:val="DefaultParagraphFont"/>
    <w:link w:val="BalloonText"/>
    <w:uiPriority w:val="99"/>
    <w:semiHidden/>
    <w:rsid w:val="00317969"/>
    <w:rPr>
      <w:rFonts w:ascii="Tahoma" w:hAnsi="Tahoma" w:cs="Tahoma"/>
      <w:sz w:val="16"/>
      <w:szCs w:val="16"/>
      <w:lang w:val="en-US"/>
    </w:rPr>
  </w:style>
  <w:style w:type="character" w:styleId="CommentReference">
    <w:name w:val="annotation reference"/>
    <w:basedOn w:val="DefaultParagraphFont"/>
    <w:uiPriority w:val="99"/>
    <w:semiHidden/>
    <w:unhideWhenUsed/>
    <w:rsid w:val="0005175E"/>
    <w:rPr>
      <w:sz w:val="16"/>
      <w:szCs w:val="16"/>
    </w:rPr>
  </w:style>
  <w:style w:type="paragraph" w:styleId="CommentText">
    <w:name w:val="annotation text"/>
    <w:basedOn w:val="Normal"/>
    <w:link w:val="CommentTextChar"/>
    <w:uiPriority w:val="99"/>
    <w:semiHidden/>
    <w:unhideWhenUsed/>
    <w:rsid w:val="0005175E"/>
    <w:rPr>
      <w:sz w:val="20"/>
      <w:szCs w:val="20"/>
    </w:rPr>
  </w:style>
  <w:style w:type="character" w:customStyle="1" w:styleId="CommentTextChar">
    <w:name w:val="Comment Text Char"/>
    <w:basedOn w:val="DefaultParagraphFont"/>
    <w:link w:val="CommentText"/>
    <w:uiPriority w:val="99"/>
    <w:semiHidden/>
    <w:rsid w:val="0005175E"/>
    <w:rPr>
      <w:sz w:val="20"/>
      <w:szCs w:val="20"/>
      <w:lang w:val="en-US"/>
    </w:rPr>
  </w:style>
  <w:style w:type="paragraph" w:styleId="CommentSubject">
    <w:name w:val="annotation subject"/>
    <w:basedOn w:val="CommentText"/>
    <w:next w:val="CommentText"/>
    <w:link w:val="CommentSubjectChar"/>
    <w:uiPriority w:val="99"/>
    <w:semiHidden/>
    <w:unhideWhenUsed/>
    <w:rsid w:val="0005175E"/>
    <w:rPr>
      <w:b/>
      <w:bCs/>
    </w:rPr>
  </w:style>
  <w:style w:type="character" w:customStyle="1" w:styleId="CommentSubjectChar">
    <w:name w:val="Comment Subject Char"/>
    <w:basedOn w:val="CommentTextChar"/>
    <w:link w:val="CommentSubject"/>
    <w:uiPriority w:val="99"/>
    <w:semiHidden/>
    <w:rsid w:val="0005175E"/>
    <w:rPr>
      <w:b/>
      <w:bCs/>
      <w:sz w:val="20"/>
      <w:szCs w:val="20"/>
      <w:lang w:val="en-US"/>
    </w:rPr>
  </w:style>
  <w:style w:type="character" w:styleId="FollowedHyperlink">
    <w:name w:val="FollowedHyperlink"/>
    <w:basedOn w:val="DefaultParagraphFont"/>
    <w:uiPriority w:val="99"/>
    <w:semiHidden/>
    <w:unhideWhenUsed/>
    <w:rsid w:val="00A361AF"/>
    <w:rPr>
      <w:color w:val="800080" w:themeColor="followedHyperlink"/>
      <w:u w:val="single"/>
    </w:rPr>
  </w:style>
  <w:style w:type="character" w:customStyle="1" w:styleId="protocol3">
    <w:name w:val="protocol3"/>
    <w:basedOn w:val="DefaultParagraphFont"/>
    <w:rsid w:val="00A361AF"/>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91"/>
    <w:pPr>
      <w:spacing w:after="0" w:line="240" w:lineRule="auto"/>
      <w:jc w:val="both"/>
    </w:pPr>
    <w:rPr>
      <w:lang w:val="en-US"/>
    </w:rPr>
  </w:style>
  <w:style w:type="paragraph" w:styleId="Heading1">
    <w:name w:val="heading 1"/>
    <w:basedOn w:val="Normal"/>
    <w:next w:val="Normal"/>
    <w:link w:val="Heading1Char"/>
    <w:uiPriority w:val="9"/>
    <w:qFormat/>
    <w:rsid w:val="00B16D91"/>
    <w:pPr>
      <w:keepNext/>
      <w:numPr>
        <w:numId w:val="1"/>
      </w:numPr>
      <w:spacing w:before="240" w:after="60"/>
      <w:jc w:val="left"/>
      <w:outlineLvl w:val="0"/>
    </w:pPr>
    <w:rPr>
      <w:rFonts w:ascii="Arial" w:eastAsia="Times New Roman" w:hAnsi="Arial" w:cs="Times New Roman"/>
      <w:b/>
      <w:kern w:val="28"/>
      <w:sz w:val="28"/>
      <w:szCs w:val="24"/>
    </w:rPr>
  </w:style>
  <w:style w:type="paragraph" w:styleId="Heading2">
    <w:name w:val="heading 2"/>
    <w:basedOn w:val="Normal"/>
    <w:next w:val="Normal"/>
    <w:link w:val="Heading2Char"/>
    <w:uiPriority w:val="9"/>
    <w:qFormat/>
    <w:rsid w:val="00B16D91"/>
    <w:pPr>
      <w:keepNext/>
      <w:numPr>
        <w:ilvl w:val="1"/>
        <w:numId w:val="1"/>
      </w:numPr>
      <w:tabs>
        <w:tab w:val="clear" w:pos="3870"/>
        <w:tab w:val="num" w:pos="1080"/>
      </w:tabs>
      <w:spacing w:before="240" w:after="60"/>
      <w:ind w:left="720"/>
      <w:jc w:val="left"/>
      <w:outlineLvl w:val="1"/>
    </w:pPr>
    <w:rPr>
      <w:rFonts w:ascii="Arial" w:eastAsia="Times New Roman" w:hAnsi="Arial" w:cs="Times New Roman"/>
      <w:b/>
      <w:i/>
      <w:sz w:val="24"/>
      <w:szCs w:val="24"/>
    </w:rPr>
  </w:style>
  <w:style w:type="paragraph" w:styleId="Heading3">
    <w:name w:val="heading 3"/>
    <w:basedOn w:val="Normal"/>
    <w:next w:val="Normal"/>
    <w:link w:val="Heading3Char"/>
    <w:uiPriority w:val="9"/>
    <w:qFormat/>
    <w:rsid w:val="00B16D91"/>
    <w:pPr>
      <w:keepNext/>
      <w:numPr>
        <w:ilvl w:val="2"/>
        <w:numId w:val="1"/>
      </w:numPr>
      <w:spacing w:before="240" w:after="60"/>
      <w:jc w:val="left"/>
      <w:outlineLvl w:val="2"/>
    </w:pPr>
    <w:rPr>
      <w:rFonts w:ascii="Arial" w:eastAsia="Times New Roman" w:hAnsi="Arial" w:cs="Times New Roman"/>
      <w:sz w:val="24"/>
      <w:szCs w:val="24"/>
    </w:rPr>
  </w:style>
  <w:style w:type="paragraph" w:styleId="Heading4">
    <w:name w:val="heading 4"/>
    <w:basedOn w:val="Normal"/>
    <w:next w:val="Normal"/>
    <w:link w:val="Heading4Char"/>
    <w:uiPriority w:val="9"/>
    <w:qFormat/>
    <w:rsid w:val="00B16D91"/>
    <w:pPr>
      <w:keepNext/>
      <w:numPr>
        <w:ilvl w:val="3"/>
        <w:numId w:val="1"/>
      </w:numPr>
      <w:spacing w:before="240" w:after="60"/>
      <w:jc w:val="left"/>
      <w:outlineLvl w:val="3"/>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D91"/>
    <w:rPr>
      <w:rFonts w:ascii="Arial" w:eastAsia="Times New Roman" w:hAnsi="Arial" w:cs="Times New Roman"/>
      <w:b/>
      <w:kern w:val="28"/>
      <w:sz w:val="28"/>
      <w:szCs w:val="24"/>
      <w:lang w:val="en-US"/>
    </w:rPr>
  </w:style>
  <w:style w:type="character" w:customStyle="1" w:styleId="Heading2Char">
    <w:name w:val="Heading 2 Char"/>
    <w:basedOn w:val="DefaultParagraphFont"/>
    <w:link w:val="Heading2"/>
    <w:uiPriority w:val="9"/>
    <w:rsid w:val="00B16D91"/>
    <w:rPr>
      <w:rFonts w:ascii="Arial" w:eastAsia="Times New Roman" w:hAnsi="Arial" w:cs="Times New Roman"/>
      <w:b/>
      <w:i/>
      <w:sz w:val="24"/>
      <w:szCs w:val="24"/>
      <w:lang w:val="en-US"/>
    </w:rPr>
  </w:style>
  <w:style w:type="character" w:customStyle="1" w:styleId="Heading3Char">
    <w:name w:val="Heading 3 Char"/>
    <w:basedOn w:val="DefaultParagraphFont"/>
    <w:link w:val="Heading3"/>
    <w:uiPriority w:val="9"/>
    <w:rsid w:val="00B16D91"/>
    <w:rPr>
      <w:rFonts w:ascii="Arial" w:eastAsia="Times New Roman" w:hAnsi="Arial" w:cs="Times New Roman"/>
      <w:sz w:val="24"/>
      <w:szCs w:val="24"/>
      <w:lang w:val="en-US"/>
    </w:rPr>
  </w:style>
  <w:style w:type="character" w:customStyle="1" w:styleId="Heading4Char">
    <w:name w:val="Heading 4 Char"/>
    <w:basedOn w:val="DefaultParagraphFont"/>
    <w:link w:val="Heading4"/>
    <w:uiPriority w:val="9"/>
    <w:rsid w:val="00B16D91"/>
    <w:rPr>
      <w:rFonts w:ascii="Arial" w:eastAsia="Times New Roman" w:hAnsi="Arial" w:cs="Times New Roman"/>
      <w:b/>
      <w:sz w:val="24"/>
      <w:szCs w:val="24"/>
      <w:lang w:val="en-US"/>
    </w:rPr>
  </w:style>
  <w:style w:type="paragraph" w:customStyle="1" w:styleId="Chapter">
    <w:name w:val="Chapter"/>
    <w:basedOn w:val="Normal"/>
    <w:next w:val="Normal"/>
    <w:link w:val="ChapterChar"/>
    <w:rsid w:val="00B16D91"/>
    <w:pPr>
      <w:keepNext/>
      <w:numPr>
        <w:numId w:val="2"/>
      </w:numPr>
      <w:tabs>
        <w:tab w:val="left" w:pos="1440"/>
      </w:tabs>
      <w:spacing w:before="240" w:after="240"/>
      <w:jc w:val="center"/>
    </w:pPr>
    <w:rPr>
      <w:rFonts w:ascii="Times New Roman" w:hAnsi="Times New Roman" w:cs="Times New Roman"/>
      <w:b/>
      <w:smallCaps/>
      <w:sz w:val="24"/>
      <w:szCs w:val="24"/>
    </w:rPr>
  </w:style>
  <w:style w:type="character" w:customStyle="1" w:styleId="ChapterChar">
    <w:name w:val="Chapter Char"/>
    <w:basedOn w:val="DefaultParagraphFont"/>
    <w:link w:val="Chapter"/>
    <w:rsid w:val="00B16D91"/>
    <w:rPr>
      <w:rFonts w:ascii="Times New Roman" w:hAnsi="Times New Roman" w:cs="Times New Roman"/>
      <w:b/>
      <w:smallCaps/>
      <w:sz w:val="24"/>
      <w:szCs w:val="24"/>
      <w:lang w:val="en-US"/>
    </w:rPr>
  </w:style>
  <w:style w:type="paragraph" w:customStyle="1" w:styleId="Paragraph">
    <w:name w:val="Paragraph"/>
    <w:aliases w:val="paragraph,p,PARAGRAPH,PG,pa,at"/>
    <w:basedOn w:val="BodyTextIndent"/>
    <w:link w:val="ParagraphChar"/>
    <w:qFormat/>
    <w:rsid w:val="00B16D91"/>
    <w:pPr>
      <w:numPr>
        <w:ilvl w:val="1"/>
        <w:numId w:val="2"/>
      </w:numPr>
      <w:tabs>
        <w:tab w:val="clear" w:pos="2016"/>
        <w:tab w:val="num" w:pos="720"/>
      </w:tabs>
      <w:spacing w:before="120"/>
      <w:ind w:left="720" w:hanging="720"/>
      <w:outlineLvl w:val="1"/>
    </w:pPr>
    <w:rPr>
      <w:rFonts w:ascii="Times New Roman" w:hAnsi="Times New Roman" w:cs="Times New Roman"/>
      <w:sz w:val="24"/>
      <w:szCs w:val="24"/>
    </w:rPr>
  </w:style>
  <w:style w:type="character" w:customStyle="1" w:styleId="ParagraphChar">
    <w:name w:val="Paragraph Char"/>
    <w:basedOn w:val="DefaultParagraphFont"/>
    <w:link w:val="Paragraph"/>
    <w:rsid w:val="00B16D91"/>
    <w:rPr>
      <w:rFonts w:ascii="Times New Roman" w:hAnsi="Times New Roman" w:cs="Times New Roman"/>
      <w:sz w:val="24"/>
      <w:szCs w:val="24"/>
      <w:lang w:val="en-US"/>
    </w:rPr>
  </w:style>
  <w:style w:type="paragraph" w:customStyle="1" w:styleId="subpar">
    <w:name w:val="subpar"/>
    <w:basedOn w:val="BodyTextIndent3"/>
    <w:rsid w:val="00B16D91"/>
    <w:pPr>
      <w:numPr>
        <w:ilvl w:val="2"/>
        <w:numId w:val="2"/>
      </w:numPr>
      <w:tabs>
        <w:tab w:val="clear" w:pos="1872"/>
        <w:tab w:val="num" w:pos="360"/>
        <w:tab w:val="num" w:pos="1152"/>
      </w:tabs>
      <w:spacing w:before="120"/>
      <w:ind w:left="1152" w:firstLine="0"/>
      <w:outlineLvl w:val="2"/>
    </w:pPr>
    <w:rPr>
      <w:rFonts w:ascii="Times New Roman" w:hAnsi="Times New Roman" w:cs="Times New Roman"/>
      <w:sz w:val="24"/>
      <w:szCs w:val="24"/>
    </w:rPr>
  </w:style>
  <w:style w:type="paragraph" w:customStyle="1" w:styleId="SubSubPar">
    <w:name w:val="SubSubPar"/>
    <w:basedOn w:val="subpar"/>
    <w:rsid w:val="00B16D91"/>
    <w:pPr>
      <w:numPr>
        <w:ilvl w:val="3"/>
      </w:numPr>
      <w:tabs>
        <w:tab w:val="clear" w:pos="2304"/>
        <w:tab w:val="left" w:pos="0"/>
        <w:tab w:val="num" w:pos="360"/>
        <w:tab w:val="num" w:pos="1152"/>
        <w:tab w:val="num" w:pos="1296"/>
      </w:tabs>
      <w:ind w:left="1296"/>
    </w:p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qFormat/>
    <w:rsid w:val="00B16D91"/>
    <w:pPr>
      <w:keepNext/>
      <w:keepLines/>
      <w:spacing w:after="120"/>
      <w:ind w:left="288" w:hanging="288"/>
    </w:pPr>
    <w:rPr>
      <w:rFonts w:ascii="Times New Roman" w:hAnsi="Times New Roman" w:cs="Times New Roman"/>
      <w:spacing w:val="-3"/>
      <w:sz w:val="20"/>
      <w:szCs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B16D91"/>
    <w:rPr>
      <w:rFonts w:ascii="Times New Roman" w:hAnsi="Times New Roman" w:cs="Times New Roman"/>
      <w:spacing w:val="-3"/>
      <w:sz w:val="20"/>
      <w:szCs w:val="20"/>
      <w:lang w:val="en-US"/>
    </w:rPr>
  </w:style>
  <w:style w:type="character" w:styleId="FootnoteReference">
    <w:name w:val="footnote reference"/>
    <w:aliases w:val="titulo 2,FC,referencia nota al pie,Fußnotenzeichen DISS,ftref,Footnote Reference Number,Footnote Reference_LVL6,Footnote Reference_LVL61,Footnote Reference_LVL62,Footnote Reference_LVL63,Footnote Reference_LVL64,16 Point"/>
    <w:basedOn w:val="DefaultParagraphFont"/>
    <w:uiPriority w:val="99"/>
    <w:unhideWhenUsed/>
    <w:rsid w:val="00B16D91"/>
    <w:rPr>
      <w:vertAlign w:val="superscript"/>
    </w:rPr>
  </w:style>
  <w:style w:type="paragraph" w:styleId="BodyTextIndent">
    <w:name w:val="Body Text Indent"/>
    <w:basedOn w:val="Normal"/>
    <w:link w:val="BodyTextIndentChar"/>
    <w:uiPriority w:val="99"/>
    <w:semiHidden/>
    <w:unhideWhenUsed/>
    <w:rsid w:val="00B16D91"/>
    <w:pPr>
      <w:spacing w:after="120"/>
      <w:ind w:left="360"/>
    </w:pPr>
  </w:style>
  <w:style w:type="character" w:customStyle="1" w:styleId="BodyTextIndentChar">
    <w:name w:val="Body Text Indent Char"/>
    <w:basedOn w:val="DefaultParagraphFont"/>
    <w:link w:val="BodyTextIndent"/>
    <w:uiPriority w:val="99"/>
    <w:semiHidden/>
    <w:rsid w:val="00B16D91"/>
    <w:rPr>
      <w:lang w:val="en-US"/>
    </w:rPr>
  </w:style>
  <w:style w:type="paragraph" w:styleId="BodyTextIndent3">
    <w:name w:val="Body Text Indent 3"/>
    <w:basedOn w:val="Normal"/>
    <w:link w:val="BodyTextIndent3Char"/>
    <w:uiPriority w:val="99"/>
    <w:semiHidden/>
    <w:unhideWhenUsed/>
    <w:rsid w:val="00B16D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6D91"/>
    <w:rPr>
      <w:sz w:val="16"/>
      <w:szCs w:val="16"/>
      <w:lang w:val="en-US"/>
    </w:rPr>
  </w:style>
  <w:style w:type="character" w:styleId="Hyperlink">
    <w:name w:val="Hyperlink"/>
    <w:basedOn w:val="DefaultParagraphFont"/>
    <w:uiPriority w:val="99"/>
    <w:unhideWhenUsed/>
    <w:rsid w:val="00B16D91"/>
    <w:rPr>
      <w:color w:val="0000FF" w:themeColor="hyperlink"/>
      <w:u w:val="single"/>
    </w:rPr>
  </w:style>
  <w:style w:type="paragraph" w:customStyle="1" w:styleId="Numberedparagraph">
    <w:name w:val="Numbered paragraph"/>
    <w:basedOn w:val="Normal"/>
    <w:qFormat/>
    <w:rsid w:val="00B16D91"/>
    <w:pPr>
      <w:tabs>
        <w:tab w:val="left" w:pos="432"/>
        <w:tab w:val="num" w:pos="576"/>
      </w:tabs>
      <w:spacing w:before="120"/>
    </w:pPr>
    <w:rPr>
      <w:rFonts w:ascii="Times New Roman" w:eastAsia="Times New Roman" w:hAnsi="Times New Roman" w:cs="Times New Roman"/>
      <w:szCs w:val="24"/>
    </w:rPr>
  </w:style>
  <w:style w:type="paragraph" w:styleId="Header">
    <w:name w:val="header"/>
    <w:basedOn w:val="Normal"/>
    <w:link w:val="HeaderChar"/>
    <w:uiPriority w:val="99"/>
    <w:unhideWhenUsed/>
    <w:rsid w:val="004F13C9"/>
    <w:pPr>
      <w:tabs>
        <w:tab w:val="center" w:pos="4513"/>
        <w:tab w:val="right" w:pos="9026"/>
      </w:tabs>
    </w:pPr>
  </w:style>
  <w:style w:type="character" w:customStyle="1" w:styleId="HeaderChar">
    <w:name w:val="Header Char"/>
    <w:basedOn w:val="DefaultParagraphFont"/>
    <w:link w:val="Header"/>
    <w:uiPriority w:val="99"/>
    <w:rsid w:val="004F13C9"/>
    <w:rPr>
      <w:lang w:val="en-US"/>
    </w:rPr>
  </w:style>
  <w:style w:type="paragraph" w:styleId="Footer">
    <w:name w:val="footer"/>
    <w:basedOn w:val="Normal"/>
    <w:link w:val="FooterChar"/>
    <w:uiPriority w:val="99"/>
    <w:unhideWhenUsed/>
    <w:rsid w:val="004F13C9"/>
    <w:pPr>
      <w:tabs>
        <w:tab w:val="center" w:pos="4513"/>
        <w:tab w:val="right" w:pos="9026"/>
      </w:tabs>
    </w:pPr>
  </w:style>
  <w:style w:type="character" w:customStyle="1" w:styleId="FooterChar">
    <w:name w:val="Footer Char"/>
    <w:basedOn w:val="DefaultParagraphFont"/>
    <w:link w:val="Footer"/>
    <w:uiPriority w:val="99"/>
    <w:rsid w:val="004F13C9"/>
    <w:rPr>
      <w:lang w:val="en-US"/>
    </w:rPr>
  </w:style>
  <w:style w:type="paragraph" w:styleId="ListParagraph">
    <w:name w:val="List Paragraph"/>
    <w:basedOn w:val="Normal"/>
    <w:uiPriority w:val="34"/>
    <w:qFormat/>
    <w:rsid w:val="00E566D9"/>
    <w:pPr>
      <w:ind w:left="720"/>
      <w:jc w:val="left"/>
    </w:pPr>
    <w:rPr>
      <w:rFonts w:ascii="Times New Roman" w:hAnsi="Times New Roman" w:cs="Times New Roman"/>
      <w:sz w:val="24"/>
      <w:szCs w:val="24"/>
      <w:lang w:val="es-ES" w:eastAsia="es-ES"/>
    </w:rPr>
  </w:style>
  <w:style w:type="paragraph" w:styleId="Revision">
    <w:name w:val="Revision"/>
    <w:hidden/>
    <w:uiPriority w:val="99"/>
    <w:semiHidden/>
    <w:rsid w:val="00317969"/>
    <w:pPr>
      <w:spacing w:after="0" w:line="240" w:lineRule="auto"/>
    </w:pPr>
    <w:rPr>
      <w:lang w:val="en-US"/>
    </w:rPr>
  </w:style>
  <w:style w:type="paragraph" w:styleId="BalloonText">
    <w:name w:val="Balloon Text"/>
    <w:basedOn w:val="Normal"/>
    <w:link w:val="BalloonTextChar"/>
    <w:uiPriority w:val="99"/>
    <w:semiHidden/>
    <w:unhideWhenUsed/>
    <w:rsid w:val="00317969"/>
    <w:rPr>
      <w:rFonts w:ascii="Tahoma" w:hAnsi="Tahoma" w:cs="Tahoma"/>
      <w:sz w:val="16"/>
      <w:szCs w:val="16"/>
    </w:rPr>
  </w:style>
  <w:style w:type="character" w:customStyle="1" w:styleId="BalloonTextChar">
    <w:name w:val="Balloon Text Char"/>
    <w:basedOn w:val="DefaultParagraphFont"/>
    <w:link w:val="BalloonText"/>
    <w:uiPriority w:val="99"/>
    <w:semiHidden/>
    <w:rsid w:val="00317969"/>
    <w:rPr>
      <w:rFonts w:ascii="Tahoma" w:hAnsi="Tahoma" w:cs="Tahoma"/>
      <w:sz w:val="16"/>
      <w:szCs w:val="16"/>
      <w:lang w:val="en-US"/>
    </w:rPr>
  </w:style>
  <w:style w:type="character" w:styleId="CommentReference">
    <w:name w:val="annotation reference"/>
    <w:basedOn w:val="DefaultParagraphFont"/>
    <w:uiPriority w:val="99"/>
    <w:semiHidden/>
    <w:unhideWhenUsed/>
    <w:rsid w:val="0005175E"/>
    <w:rPr>
      <w:sz w:val="16"/>
      <w:szCs w:val="16"/>
    </w:rPr>
  </w:style>
  <w:style w:type="paragraph" w:styleId="CommentText">
    <w:name w:val="annotation text"/>
    <w:basedOn w:val="Normal"/>
    <w:link w:val="CommentTextChar"/>
    <w:uiPriority w:val="99"/>
    <w:semiHidden/>
    <w:unhideWhenUsed/>
    <w:rsid w:val="0005175E"/>
    <w:rPr>
      <w:sz w:val="20"/>
      <w:szCs w:val="20"/>
    </w:rPr>
  </w:style>
  <w:style w:type="character" w:customStyle="1" w:styleId="CommentTextChar">
    <w:name w:val="Comment Text Char"/>
    <w:basedOn w:val="DefaultParagraphFont"/>
    <w:link w:val="CommentText"/>
    <w:uiPriority w:val="99"/>
    <w:semiHidden/>
    <w:rsid w:val="0005175E"/>
    <w:rPr>
      <w:sz w:val="20"/>
      <w:szCs w:val="20"/>
      <w:lang w:val="en-US"/>
    </w:rPr>
  </w:style>
  <w:style w:type="paragraph" w:styleId="CommentSubject">
    <w:name w:val="annotation subject"/>
    <w:basedOn w:val="CommentText"/>
    <w:next w:val="CommentText"/>
    <w:link w:val="CommentSubjectChar"/>
    <w:uiPriority w:val="99"/>
    <w:semiHidden/>
    <w:unhideWhenUsed/>
    <w:rsid w:val="0005175E"/>
    <w:rPr>
      <w:b/>
      <w:bCs/>
    </w:rPr>
  </w:style>
  <w:style w:type="character" w:customStyle="1" w:styleId="CommentSubjectChar">
    <w:name w:val="Comment Subject Char"/>
    <w:basedOn w:val="CommentTextChar"/>
    <w:link w:val="CommentSubject"/>
    <w:uiPriority w:val="99"/>
    <w:semiHidden/>
    <w:rsid w:val="0005175E"/>
    <w:rPr>
      <w:b/>
      <w:bCs/>
      <w:sz w:val="20"/>
      <w:szCs w:val="20"/>
      <w:lang w:val="en-US"/>
    </w:rPr>
  </w:style>
  <w:style w:type="character" w:styleId="FollowedHyperlink">
    <w:name w:val="FollowedHyperlink"/>
    <w:basedOn w:val="DefaultParagraphFont"/>
    <w:uiPriority w:val="99"/>
    <w:semiHidden/>
    <w:unhideWhenUsed/>
    <w:rsid w:val="00A361AF"/>
    <w:rPr>
      <w:color w:val="800080" w:themeColor="followedHyperlink"/>
      <w:u w:val="single"/>
    </w:rPr>
  </w:style>
  <w:style w:type="character" w:customStyle="1" w:styleId="protocol3">
    <w:name w:val="protocol3"/>
    <w:basedOn w:val="DefaultParagraphFont"/>
    <w:rsid w:val="00A361A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21462">
      <w:bodyDiv w:val="1"/>
      <w:marLeft w:val="0"/>
      <w:marRight w:val="0"/>
      <w:marTop w:val="0"/>
      <w:marBottom w:val="0"/>
      <w:divBdr>
        <w:top w:val="none" w:sz="0" w:space="0" w:color="auto"/>
        <w:left w:val="none" w:sz="0" w:space="0" w:color="auto"/>
        <w:bottom w:val="none" w:sz="0" w:space="0" w:color="auto"/>
        <w:right w:val="none" w:sz="0" w:space="0" w:color="auto"/>
      </w:divBdr>
    </w:div>
    <w:div w:id="12802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t.ly/SENER_Geotermia" TargetMode="External"/><Relationship Id="rId4" Type="http://schemas.microsoft.com/office/2007/relationships/stylesWithEffects" Target="stylesWithEffects.xml"/><Relationship Id="rId9" Type="http://schemas.openxmlformats.org/officeDocument/2006/relationships/hyperlink" Target="http://bit.ly/MEDEC_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it.ly/IOModel" TargetMode="External"/><Relationship Id="rId2" Type="http://schemas.openxmlformats.org/officeDocument/2006/relationships/hyperlink" Target="http://bit.ly/Geojobs" TargetMode="External"/><Relationship Id="rId1" Type="http://schemas.openxmlformats.org/officeDocument/2006/relationships/hyperlink" Target="http://www.energia.gob.mx/webSener/res/0/Geothermal_01.pdf" TargetMode="External"/><Relationship Id="rId6" Type="http://schemas.openxmlformats.org/officeDocument/2006/relationships/hyperlink" Target="http://www.energias-renovables.com/articulo/alstom-construira-en-mexico-una-central-geotermica-20131219" TargetMode="External"/><Relationship Id="rId5" Type="http://schemas.openxmlformats.org/officeDocument/2006/relationships/hyperlink" Target="http://www.europapress.es/economia/noticia-economia-empresas-enel-firma-mexico-memorando-entendimiento-geotermia-redes-electricas-inteligentes-20140114093033.html" TargetMode="External"/><Relationship Id="rId4" Type="http://schemas.openxmlformats.org/officeDocument/2006/relationships/hyperlink" Target="http://thinkgeoenergy.com/archives/17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EAF0-587D-4B86-A32A-30840284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Campillo</dc:creator>
  <cp:lastModifiedBy>Test</cp:lastModifiedBy>
  <cp:revision>3</cp:revision>
  <cp:lastPrinted>2014-03-07T17:29:00Z</cp:lastPrinted>
  <dcterms:created xsi:type="dcterms:W3CDTF">2014-04-04T14:34:00Z</dcterms:created>
  <dcterms:modified xsi:type="dcterms:W3CDTF">2014-04-04T14:35:00Z</dcterms:modified>
</cp:coreProperties>
</file>