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A28B6" w14:textId="77777777" w:rsidR="00E95940" w:rsidRPr="000A6A5E" w:rsidRDefault="00E95940" w:rsidP="00E95940">
      <w:pPr>
        <w:jc w:val="center"/>
        <w:rPr>
          <w:rFonts w:ascii="Arial" w:hAnsi="Arial" w:cs="Arial"/>
          <w:smallCaps/>
          <w:sz w:val="22"/>
          <w:szCs w:val="22"/>
        </w:rPr>
      </w:pPr>
      <w:r w:rsidRPr="000A6A5E">
        <w:rPr>
          <w:rFonts w:ascii="Arial" w:hAnsi="Arial" w:cs="Arial"/>
          <w:smallCaps/>
          <w:sz w:val="22"/>
          <w:szCs w:val="22"/>
        </w:rPr>
        <w:t>Document of the Inter-American Development Bank</w:t>
      </w:r>
    </w:p>
    <w:p w14:paraId="5098ABB4" w14:textId="77777777" w:rsidR="00E95940" w:rsidRPr="000A6A5E" w:rsidRDefault="00E95940" w:rsidP="00E95940">
      <w:pPr>
        <w:jc w:val="center"/>
        <w:rPr>
          <w:rFonts w:ascii="Arial" w:hAnsi="Arial" w:cs="Arial"/>
          <w:sz w:val="22"/>
          <w:szCs w:val="22"/>
        </w:rPr>
      </w:pPr>
    </w:p>
    <w:p w14:paraId="0BFFED37" w14:textId="77777777" w:rsidR="00E95940" w:rsidRPr="000A6A5E" w:rsidRDefault="00E95940" w:rsidP="00E95940">
      <w:pPr>
        <w:jc w:val="center"/>
        <w:rPr>
          <w:rFonts w:ascii="Arial" w:hAnsi="Arial" w:cs="Arial"/>
          <w:sz w:val="22"/>
          <w:szCs w:val="22"/>
        </w:rPr>
      </w:pPr>
    </w:p>
    <w:p w14:paraId="743BFBC4" w14:textId="77777777" w:rsidR="00E95940" w:rsidRPr="000A6A5E" w:rsidRDefault="00E95940" w:rsidP="00E95940">
      <w:pPr>
        <w:jc w:val="center"/>
        <w:rPr>
          <w:rFonts w:ascii="Arial" w:hAnsi="Arial" w:cs="Arial"/>
          <w:sz w:val="22"/>
          <w:szCs w:val="22"/>
        </w:rPr>
      </w:pPr>
    </w:p>
    <w:p w14:paraId="3C369586" w14:textId="77777777" w:rsidR="00E95940" w:rsidRPr="000A6A5E" w:rsidRDefault="00E95940" w:rsidP="00E95940">
      <w:pPr>
        <w:jc w:val="center"/>
        <w:rPr>
          <w:rFonts w:ascii="Arial" w:hAnsi="Arial" w:cs="Arial"/>
          <w:sz w:val="22"/>
          <w:szCs w:val="22"/>
        </w:rPr>
      </w:pPr>
    </w:p>
    <w:p w14:paraId="15131152" w14:textId="77777777" w:rsidR="00E95940" w:rsidRPr="000A6A5E" w:rsidRDefault="00E95940" w:rsidP="00E95940">
      <w:pPr>
        <w:jc w:val="center"/>
        <w:rPr>
          <w:rFonts w:ascii="Arial" w:hAnsi="Arial" w:cs="Arial"/>
          <w:sz w:val="22"/>
          <w:szCs w:val="22"/>
        </w:rPr>
      </w:pPr>
    </w:p>
    <w:p w14:paraId="178C2FE3" w14:textId="77777777" w:rsidR="00E95940" w:rsidRPr="000A6A5E" w:rsidRDefault="00E95940" w:rsidP="00E95940">
      <w:pPr>
        <w:jc w:val="center"/>
        <w:rPr>
          <w:rFonts w:ascii="Arial" w:hAnsi="Arial" w:cs="Arial"/>
          <w:sz w:val="22"/>
          <w:szCs w:val="22"/>
        </w:rPr>
      </w:pPr>
    </w:p>
    <w:p w14:paraId="7815DAAC" w14:textId="77777777" w:rsidR="00E95940" w:rsidRPr="000A6A5E" w:rsidRDefault="00E95940" w:rsidP="00E95940">
      <w:pPr>
        <w:jc w:val="center"/>
        <w:rPr>
          <w:rFonts w:ascii="Arial" w:hAnsi="Arial" w:cs="Arial"/>
          <w:sz w:val="22"/>
          <w:szCs w:val="22"/>
        </w:rPr>
      </w:pPr>
    </w:p>
    <w:p w14:paraId="7972F610" w14:textId="77777777" w:rsidR="00E95940" w:rsidRPr="000A6A5E" w:rsidRDefault="00E95940" w:rsidP="00E95940">
      <w:pPr>
        <w:jc w:val="center"/>
        <w:rPr>
          <w:rFonts w:ascii="Arial" w:hAnsi="Arial" w:cs="Arial"/>
          <w:sz w:val="22"/>
          <w:szCs w:val="22"/>
        </w:rPr>
      </w:pPr>
    </w:p>
    <w:p w14:paraId="4A56AE23" w14:textId="77777777" w:rsidR="00E95940" w:rsidRPr="000A6A5E" w:rsidRDefault="00E95940" w:rsidP="00E95940">
      <w:pPr>
        <w:jc w:val="center"/>
        <w:rPr>
          <w:rFonts w:ascii="Arial" w:hAnsi="Arial" w:cs="Arial"/>
          <w:sz w:val="22"/>
          <w:szCs w:val="22"/>
        </w:rPr>
      </w:pPr>
    </w:p>
    <w:p w14:paraId="7A6344F6" w14:textId="77777777" w:rsidR="00E95940" w:rsidRPr="008C57DE" w:rsidRDefault="00E95940" w:rsidP="00E95940">
      <w:pPr>
        <w:jc w:val="center"/>
        <w:rPr>
          <w:rFonts w:ascii="Arial" w:hAnsi="Arial" w:cs="Arial"/>
          <w:b/>
          <w:smallCaps/>
          <w:szCs w:val="24"/>
        </w:rPr>
      </w:pPr>
    </w:p>
    <w:p w14:paraId="4D597FD0" w14:textId="77777777" w:rsidR="00E95940" w:rsidRPr="008C57DE" w:rsidRDefault="008F76C8" w:rsidP="00E95940">
      <w:pPr>
        <w:jc w:val="center"/>
        <w:rPr>
          <w:rFonts w:ascii="Arial" w:hAnsi="Arial" w:cs="Arial"/>
          <w:b/>
          <w:smallCaps/>
          <w:szCs w:val="24"/>
        </w:rPr>
      </w:pPr>
      <w:r>
        <w:rPr>
          <w:rFonts w:ascii="Arial" w:hAnsi="Arial" w:cs="Arial"/>
          <w:b/>
          <w:smallCaps/>
          <w:sz w:val="28"/>
          <w:szCs w:val="24"/>
        </w:rPr>
        <w:t>Colombia</w:t>
      </w:r>
    </w:p>
    <w:p w14:paraId="7D891E82" w14:textId="77777777" w:rsidR="00E95940" w:rsidRPr="008C57DE" w:rsidRDefault="00E95940" w:rsidP="00E95940">
      <w:pPr>
        <w:jc w:val="center"/>
        <w:rPr>
          <w:rFonts w:ascii="Arial" w:hAnsi="Arial" w:cs="Arial"/>
          <w:b/>
          <w:smallCaps/>
          <w:szCs w:val="24"/>
        </w:rPr>
      </w:pPr>
    </w:p>
    <w:p w14:paraId="10645A2A" w14:textId="77777777" w:rsidR="00E95940" w:rsidRPr="008C57DE" w:rsidRDefault="00E95940" w:rsidP="00E95940">
      <w:pPr>
        <w:jc w:val="center"/>
        <w:rPr>
          <w:rFonts w:ascii="Arial" w:hAnsi="Arial" w:cs="Arial"/>
          <w:b/>
          <w:smallCaps/>
          <w:szCs w:val="24"/>
        </w:rPr>
      </w:pPr>
    </w:p>
    <w:p w14:paraId="74E3B753" w14:textId="77777777" w:rsidR="00E95940" w:rsidRPr="008C57DE" w:rsidRDefault="00E95940" w:rsidP="00E95940">
      <w:pPr>
        <w:jc w:val="center"/>
        <w:rPr>
          <w:rFonts w:ascii="Arial" w:hAnsi="Arial" w:cs="Arial"/>
          <w:b/>
          <w:smallCaps/>
          <w:szCs w:val="24"/>
        </w:rPr>
      </w:pPr>
    </w:p>
    <w:p w14:paraId="5EFCE296" w14:textId="77777777" w:rsidR="00E95940" w:rsidRPr="008C57DE" w:rsidRDefault="00E95940" w:rsidP="00E95940">
      <w:pPr>
        <w:jc w:val="center"/>
        <w:rPr>
          <w:rFonts w:ascii="Arial" w:hAnsi="Arial" w:cs="Arial"/>
          <w:b/>
          <w:smallCaps/>
          <w:szCs w:val="24"/>
        </w:rPr>
      </w:pPr>
    </w:p>
    <w:p w14:paraId="268D8303" w14:textId="77777777" w:rsidR="00E95940" w:rsidRPr="008C57DE" w:rsidRDefault="00E95940" w:rsidP="00E95940">
      <w:pPr>
        <w:jc w:val="center"/>
        <w:rPr>
          <w:rFonts w:ascii="Arial" w:hAnsi="Arial" w:cs="Arial"/>
          <w:b/>
          <w:smallCaps/>
          <w:szCs w:val="24"/>
        </w:rPr>
      </w:pPr>
    </w:p>
    <w:p w14:paraId="1DE7E0DC" w14:textId="77777777" w:rsidR="00E95940" w:rsidRPr="008C57DE" w:rsidRDefault="00E95940" w:rsidP="00E95940">
      <w:pPr>
        <w:jc w:val="center"/>
        <w:rPr>
          <w:rFonts w:ascii="Arial" w:hAnsi="Arial" w:cs="Arial"/>
          <w:b/>
          <w:smallCaps/>
          <w:szCs w:val="24"/>
        </w:rPr>
      </w:pPr>
    </w:p>
    <w:p w14:paraId="63AA186F" w14:textId="6353486C" w:rsidR="00E95940" w:rsidRPr="008C57DE" w:rsidRDefault="0051448B" w:rsidP="00E95940">
      <w:pPr>
        <w:jc w:val="center"/>
        <w:rPr>
          <w:rFonts w:ascii="Arial" w:hAnsi="Arial" w:cs="Arial"/>
          <w:b/>
          <w:smallCaps/>
          <w:sz w:val="28"/>
          <w:szCs w:val="24"/>
        </w:rPr>
      </w:pPr>
      <w:r>
        <w:rPr>
          <w:rFonts w:ascii="Arial" w:hAnsi="Arial" w:cs="Arial"/>
          <w:b/>
          <w:smallCaps/>
          <w:sz w:val="28"/>
          <w:szCs w:val="24"/>
        </w:rPr>
        <w:t>CTF Renewal Energy Financing Program for the Non-Interconnected Zones</w:t>
      </w:r>
    </w:p>
    <w:p w14:paraId="0F78433A" w14:textId="77777777" w:rsidR="00E95940" w:rsidRPr="008C57DE" w:rsidRDefault="00E95940" w:rsidP="00E95940">
      <w:pPr>
        <w:jc w:val="center"/>
        <w:rPr>
          <w:rFonts w:ascii="Arial" w:hAnsi="Arial" w:cs="Arial"/>
          <w:b/>
          <w:smallCaps/>
          <w:szCs w:val="24"/>
        </w:rPr>
      </w:pPr>
    </w:p>
    <w:p w14:paraId="13B7C6F0" w14:textId="77777777" w:rsidR="00E95940" w:rsidRPr="008C57DE" w:rsidRDefault="00E95940" w:rsidP="00E95940">
      <w:pPr>
        <w:jc w:val="center"/>
        <w:rPr>
          <w:rFonts w:ascii="Arial" w:hAnsi="Arial" w:cs="Arial"/>
          <w:b/>
          <w:smallCaps/>
          <w:szCs w:val="24"/>
        </w:rPr>
      </w:pPr>
    </w:p>
    <w:p w14:paraId="0C57A7E1" w14:textId="5AD4664D" w:rsidR="00E95940" w:rsidRPr="008C57DE" w:rsidRDefault="00E95940" w:rsidP="00E95940">
      <w:pPr>
        <w:jc w:val="center"/>
        <w:rPr>
          <w:rFonts w:ascii="Arial" w:hAnsi="Arial" w:cs="Arial"/>
          <w:b/>
          <w:smallCaps/>
          <w:sz w:val="22"/>
          <w:szCs w:val="24"/>
        </w:rPr>
      </w:pPr>
      <w:bookmarkStart w:id="0" w:name="Text7"/>
      <w:r w:rsidRPr="008C57DE">
        <w:rPr>
          <w:rFonts w:ascii="Arial" w:hAnsi="Arial" w:cs="Arial"/>
          <w:b/>
          <w:smallCaps/>
          <w:sz w:val="22"/>
          <w:szCs w:val="24"/>
        </w:rPr>
        <w:t>(</w:t>
      </w:r>
      <w:bookmarkEnd w:id="0"/>
      <w:r w:rsidR="008F76C8">
        <w:rPr>
          <w:rFonts w:ascii="Arial" w:hAnsi="Arial" w:cs="Arial"/>
          <w:b/>
          <w:smallCaps/>
          <w:sz w:val="22"/>
          <w:szCs w:val="24"/>
        </w:rPr>
        <w:t>CO-</w:t>
      </w:r>
      <w:r w:rsidR="0051448B">
        <w:rPr>
          <w:rFonts w:ascii="Arial" w:hAnsi="Arial" w:cs="Arial"/>
          <w:b/>
          <w:smallCaps/>
          <w:sz w:val="22"/>
          <w:szCs w:val="24"/>
        </w:rPr>
        <w:t>L</w:t>
      </w:r>
      <w:r w:rsidR="008F76C8">
        <w:rPr>
          <w:rFonts w:ascii="Arial" w:hAnsi="Arial" w:cs="Arial"/>
          <w:b/>
          <w:smallCaps/>
          <w:sz w:val="22"/>
          <w:szCs w:val="24"/>
        </w:rPr>
        <w:t>1</w:t>
      </w:r>
      <w:r w:rsidR="0051448B">
        <w:rPr>
          <w:rFonts w:ascii="Arial" w:hAnsi="Arial" w:cs="Arial"/>
          <w:b/>
          <w:smallCaps/>
          <w:sz w:val="22"/>
          <w:szCs w:val="24"/>
        </w:rPr>
        <w:t>161</w:t>
      </w:r>
      <w:r w:rsidRPr="008C57DE">
        <w:rPr>
          <w:rFonts w:ascii="Arial" w:hAnsi="Arial" w:cs="Arial"/>
          <w:b/>
          <w:smallCaps/>
          <w:sz w:val="22"/>
          <w:szCs w:val="24"/>
        </w:rPr>
        <w:t>)</w:t>
      </w:r>
    </w:p>
    <w:p w14:paraId="19D0092E" w14:textId="77777777" w:rsidR="00E95940" w:rsidRPr="000A6A5E" w:rsidRDefault="00E95940" w:rsidP="00E95940">
      <w:pPr>
        <w:jc w:val="center"/>
        <w:rPr>
          <w:rFonts w:ascii="Arial" w:hAnsi="Arial" w:cs="Arial"/>
          <w:sz w:val="22"/>
          <w:szCs w:val="22"/>
        </w:rPr>
      </w:pPr>
    </w:p>
    <w:p w14:paraId="5CFCE427" w14:textId="77777777" w:rsidR="00E95940" w:rsidRDefault="00E95940" w:rsidP="00E95940">
      <w:pPr>
        <w:jc w:val="center"/>
        <w:rPr>
          <w:rFonts w:ascii="Arial" w:hAnsi="Arial" w:cs="Arial"/>
          <w:sz w:val="22"/>
          <w:szCs w:val="22"/>
        </w:rPr>
      </w:pPr>
    </w:p>
    <w:p w14:paraId="6CC9A014" w14:textId="77777777" w:rsidR="00E95940" w:rsidRPr="000A6A5E" w:rsidRDefault="00E95940" w:rsidP="00E95940">
      <w:pPr>
        <w:jc w:val="center"/>
        <w:rPr>
          <w:rFonts w:ascii="Arial" w:hAnsi="Arial" w:cs="Arial"/>
          <w:sz w:val="22"/>
          <w:szCs w:val="22"/>
        </w:rPr>
      </w:pPr>
    </w:p>
    <w:p w14:paraId="0E0F1F65" w14:textId="77777777" w:rsidR="00E95940" w:rsidRPr="000A6A5E" w:rsidRDefault="00E95940" w:rsidP="00E95940">
      <w:pPr>
        <w:jc w:val="center"/>
        <w:rPr>
          <w:rFonts w:ascii="Arial" w:hAnsi="Arial" w:cs="Arial"/>
          <w:sz w:val="22"/>
          <w:szCs w:val="22"/>
        </w:rPr>
      </w:pPr>
    </w:p>
    <w:p w14:paraId="7534308B" w14:textId="43227D3C" w:rsidR="00E95940" w:rsidRPr="000A6A5E" w:rsidRDefault="008F76C8" w:rsidP="00E95940">
      <w:pPr>
        <w:jc w:val="center"/>
        <w:rPr>
          <w:rFonts w:ascii="Arial" w:hAnsi="Arial" w:cs="Arial"/>
          <w:b/>
          <w:smallCaps/>
          <w:szCs w:val="24"/>
        </w:rPr>
      </w:pPr>
      <w:r>
        <w:rPr>
          <w:rFonts w:ascii="Arial" w:hAnsi="Arial" w:cs="Arial"/>
          <w:b/>
          <w:smallCaps/>
          <w:szCs w:val="24"/>
        </w:rPr>
        <w:t xml:space="preserve">Monitoring and Evaluation </w:t>
      </w:r>
      <w:r w:rsidR="00AD03CE">
        <w:rPr>
          <w:rFonts w:ascii="Arial" w:hAnsi="Arial" w:cs="Arial"/>
          <w:b/>
          <w:smallCaps/>
          <w:szCs w:val="24"/>
        </w:rPr>
        <w:t>Arrangements</w:t>
      </w:r>
    </w:p>
    <w:p w14:paraId="6E372FF1" w14:textId="77777777" w:rsidR="00E95940" w:rsidRPr="000A6A5E" w:rsidRDefault="00E95940" w:rsidP="00E95940">
      <w:pPr>
        <w:jc w:val="center"/>
        <w:rPr>
          <w:rFonts w:ascii="Arial" w:hAnsi="Arial" w:cs="Arial"/>
          <w:sz w:val="22"/>
          <w:szCs w:val="22"/>
        </w:rPr>
      </w:pPr>
    </w:p>
    <w:p w14:paraId="56371CAC" w14:textId="77777777" w:rsidR="00E95940" w:rsidRPr="000A6A5E" w:rsidRDefault="00E95940" w:rsidP="00E95940">
      <w:pPr>
        <w:jc w:val="center"/>
        <w:rPr>
          <w:rFonts w:ascii="Arial" w:hAnsi="Arial" w:cs="Arial"/>
          <w:sz w:val="22"/>
          <w:szCs w:val="22"/>
        </w:rPr>
      </w:pPr>
    </w:p>
    <w:p w14:paraId="1B53D086" w14:textId="77777777" w:rsidR="00E95940" w:rsidRPr="000A6A5E" w:rsidRDefault="00E95940" w:rsidP="00E95940">
      <w:pPr>
        <w:jc w:val="center"/>
        <w:rPr>
          <w:rFonts w:ascii="Arial" w:hAnsi="Arial" w:cs="Arial"/>
          <w:sz w:val="22"/>
          <w:szCs w:val="22"/>
        </w:rPr>
      </w:pPr>
    </w:p>
    <w:p w14:paraId="79735694" w14:textId="77777777" w:rsidR="00E95940" w:rsidRPr="000A6A5E" w:rsidRDefault="00E95940" w:rsidP="00E95940">
      <w:pPr>
        <w:jc w:val="center"/>
        <w:rPr>
          <w:rFonts w:ascii="Arial" w:hAnsi="Arial" w:cs="Arial"/>
          <w:sz w:val="22"/>
          <w:szCs w:val="22"/>
        </w:rPr>
      </w:pPr>
    </w:p>
    <w:p w14:paraId="58CD6AEB" w14:textId="77777777" w:rsidR="00E95940" w:rsidRPr="000A6A5E" w:rsidRDefault="00E95940" w:rsidP="00E95940">
      <w:pPr>
        <w:jc w:val="center"/>
        <w:rPr>
          <w:rFonts w:ascii="Arial" w:hAnsi="Arial" w:cs="Arial"/>
          <w:sz w:val="22"/>
          <w:szCs w:val="22"/>
        </w:rPr>
      </w:pPr>
    </w:p>
    <w:p w14:paraId="5B8B9CA6" w14:textId="77777777" w:rsidR="00E95940" w:rsidRPr="000A6A5E" w:rsidRDefault="00E95940" w:rsidP="00E95940">
      <w:pPr>
        <w:jc w:val="center"/>
        <w:rPr>
          <w:rFonts w:ascii="Arial" w:hAnsi="Arial" w:cs="Arial"/>
          <w:sz w:val="22"/>
          <w:szCs w:val="22"/>
        </w:rPr>
      </w:pPr>
    </w:p>
    <w:p w14:paraId="16057FFF" w14:textId="77777777" w:rsidR="00E95940" w:rsidRPr="000A6A5E" w:rsidRDefault="00E95940" w:rsidP="00E95940">
      <w:pPr>
        <w:jc w:val="center"/>
        <w:rPr>
          <w:rFonts w:ascii="Arial" w:hAnsi="Arial" w:cs="Arial"/>
          <w:sz w:val="22"/>
          <w:szCs w:val="22"/>
        </w:rPr>
      </w:pPr>
    </w:p>
    <w:p w14:paraId="6C0C1E7E" w14:textId="77777777" w:rsidR="00E95940" w:rsidRPr="000A6A5E" w:rsidRDefault="00E95940" w:rsidP="00E95940">
      <w:pPr>
        <w:jc w:val="center"/>
        <w:rPr>
          <w:rFonts w:ascii="Arial" w:hAnsi="Arial" w:cs="Arial"/>
          <w:sz w:val="22"/>
          <w:szCs w:val="22"/>
        </w:rPr>
      </w:pPr>
    </w:p>
    <w:p w14:paraId="27FAC535" w14:textId="77777777" w:rsidR="00E95940" w:rsidRPr="000A6A5E" w:rsidRDefault="00E95940" w:rsidP="00E95940">
      <w:pPr>
        <w:jc w:val="center"/>
        <w:rPr>
          <w:rFonts w:ascii="Arial" w:hAnsi="Arial" w:cs="Arial"/>
          <w:sz w:val="22"/>
          <w:szCs w:val="22"/>
        </w:rPr>
      </w:pPr>
    </w:p>
    <w:p w14:paraId="5A6C386D" w14:textId="77777777" w:rsidR="00E95940" w:rsidRPr="000A6A5E" w:rsidRDefault="00E95940" w:rsidP="00E95940">
      <w:pPr>
        <w:jc w:val="center"/>
        <w:rPr>
          <w:rFonts w:ascii="Arial" w:hAnsi="Arial" w:cs="Arial"/>
          <w:sz w:val="22"/>
          <w:szCs w:val="22"/>
        </w:rPr>
      </w:pPr>
    </w:p>
    <w:p w14:paraId="04BD93F4" w14:textId="77777777" w:rsidR="00E95940" w:rsidRPr="000A6A5E" w:rsidRDefault="00E95940" w:rsidP="00E95940">
      <w:pPr>
        <w:jc w:val="center"/>
        <w:rPr>
          <w:rFonts w:ascii="Arial" w:hAnsi="Arial" w:cs="Arial"/>
          <w:sz w:val="22"/>
          <w:szCs w:val="22"/>
        </w:rPr>
      </w:pPr>
    </w:p>
    <w:p w14:paraId="77E1AFC2" w14:textId="77777777" w:rsidR="00E95940" w:rsidRDefault="00E95940"/>
    <w:p w14:paraId="2820A78E" w14:textId="77777777" w:rsidR="00E95940" w:rsidRDefault="00E95940"/>
    <w:p w14:paraId="07C8B2A7" w14:textId="77777777" w:rsidR="00E95940" w:rsidRDefault="00E95940"/>
    <w:p w14:paraId="397A6FC2" w14:textId="77777777" w:rsidR="00E95940" w:rsidRDefault="00E95940"/>
    <w:p w14:paraId="291E3D12" w14:textId="77777777" w:rsidR="00E95940" w:rsidRDefault="00E95940"/>
    <w:p w14:paraId="08199BFB" w14:textId="77777777" w:rsidR="00E95940" w:rsidRDefault="00E95940"/>
    <w:p w14:paraId="5981A7C0" w14:textId="77777777" w:rsidR="00E95940" w:rsidRDefault="00E95940">
      <w:pPr>
        <w:rPr>
          <w:rFonts w:ascii="Arial" w:hAnsi="Arial" w:cs="Arial"/>
          <w:sz w:val="22"/>
          <w:szCs w:val="22"/>
        </w:rPr>
      </w:pPr>
    </w:p>
    <w:p w14:paraId="5E0D5A19" w14:textId="77777777" w:rsidR="00C14D69" w:rsidRPr="0036083D" w:rsidRDefault="00C14D69" w:rsidP="0036083D">
      <w:pPr>
        <w:pStyle w:val="Heading1"/>
        <w:spacing w:after="120" w:line="276" w:lineRule="auto"/>
        <w:jc w:val="center"/>
        <w:rPr>
          <w:rFonts w:ascii="Arial" w:hAnsi="Arial" w:cs="Arial"/>
          <w:color w:val="auto"/>
          <w:sz w:val="22"/>
          <w:szCs w:val="22"/>
        </w:rPr>
      </w:pPr>
      <w:r w:rsidRPr="0036083D">
        <w:rPr>
          <w:rFonts w:ascii="Arial" w:hAnsi="Arial" w:cs="Arial"/>
          <w:color w:val="auto"/>
          <w:sz w:val="22"/>
          <w:szCs w:val="22"/>
        </w:rPr>
        <w:lastRenderedPageBreak/>
        <w:t>Introduction</w:t>
      </w:r>
    </w:p>
    <w:p w14:paraId="1CD676E9" w14:textId="1190C198" w:rsidR="00985F3C" w:rsidRPr="0036083D" w:rsidRDefault="00985F3C" w:rsidP="0036083D">
      <w:pPr>
        <w:pStyle w:val="ListParagraph"/>
        <w:numPr>
          <w:ilvl w:val="0"/>
          <w:numId w:val="23"/>
        </w:numPr>
        <w:spacing w:after="120" w:line="276" w:lineRule="auto"/>
        <w:contextualSpacing w:val="0"/>
        <w:jc w:val="both"/>
        <w:rPr>
          <w:rFonts w:ascii="Arial" w:hAnsi="Arial" w:cs="Arial"/>
          <w:b/>
          <w:sz w:val="22"/>
          <w:szCs w:val="22"/>
        </w:rPr>
      </w:pPr>
      <w:r w:rsidRPr="0036083D">
        <w:rPr>
          <w:rFonts w:ascii="Arial" w:hAnsi="Arial" w:cs="Arial"/>
          <w:b/>
          <w:sz w:val="22"/>
          <w:szCs w:val="22"/>
        </w:rPr>
        <w:t>General Framework</w:t>
      </w:r>
    </w:p>
    <w:p w14:paraId="3F19F8BF" w14:textId="5AF52CE4" w:rsidR="002276F5" w:rsidRPr="0036083D" w:rsidRDefault="002276F5" w:rsidP="0036083D">
      <w:pPr>
        <w:pStyle w:val="AutoNumpara"/>
        <w:spacing w:after="120" w:line="276" w:lineRule="auto"/>
        <w:jc w:val="both"/>
        <w:rPr>
          <w:rFonts w:ascii="Arial" w:hAnsi="Arial" w:cs="Arial"/>
          <w:sz w:val="22"/>
          <w:szCs w:val="22"/>
        </w:rPr>
      </w:pPr>
      <w:r w:rsidRPr="0036083D">
        <w:rPr>
          <w:rFonts w:ascii="Arial" w:hAnsi="Arial" w:cs="Arial"/>
          <w:sz w:val="22"/>
          <w:szCs w:val="22"/>
        </w:rPr>
        <w:t xml:space="preserve">The main purpose of this document is to present the monitoring and evaluation plan of the </w:t>
      </w:r>
      <w:r w:rsidR="00EF0A9A" w:rsidRPr="0036083D">
        <w:rPr>
          <w:rFonts w:ascii="Arial" w:hAnsi="Arial" w:cs="Arial"/>
          <w:sz w:val="22"/>
          <w:szCs w:val="22"/>
        </w:rPr>
        <w:t>CTF Renewal Energy Financing Program for the Non-Interconnected Zones</w:t>
      </w:r>
      <w:r w:rsidRPr="0036083D">
        <w:rPr>
          <w:rFonts w:ascii="Arial" w:hAnsi="Arial" w:cs="Arial"/>
          <w:sz w:val="22"/>
          <w:szCs w:val="22"/>
        </w:rPr>
        <w:t xml:space="preserve">. </w:t>
      </w:r>
    </w:p>
    <w:p w14:paraId="414B3443" w14:textId="600EC0D8" w:rsidR="001E4579" w:rsidRPr="0036083D" w:rsidRDefault="00355753" w:rsidP="0036083D">
      <w:pPr>
        <w:pStyle w:val="AutoNumpara"/>
        <w:spacing w:after="120" w:line="276" w:lineRule="auto"/>
        <w:jc w:val="both"/>
        <w:rPr>
          <w:rFonts w:ascii="Arial" w:hAnsi="Arial" w:cs="Arial"/>
          <w:sz w:val="22"/>
          <w:szCs w:val="22"/>
        </w:rPr>
      </w:pPr>
      <w:proofErr w:type="gramStart"/>
      <w:r w:rsidRPr="0036083D">
        <w:rPr>
          <w:rFonts w:ascii="Arial" w:hAnsi="Arial" w:cs="Arial"/>
          <w:sz w:val="22"/>
          <w:szCs w:val="22"/>
        </w:rPr>
        <w:t xml:space="preserve">The proposed program will provide </w:t>
      </w:r>
      <w:proofErr w:type="spellStart"/>
      <w:r w:rsidRPr="0036083D">
        <w:rPr>
          <w:rFonts w:ascii="Arial" w:hAnsi="Arial" w:cs="Arial"/>
          <w:sz w:val="22"/>
          <w:szCs w:val="22"/>
        </w:rPr>
        <w:t>Bancóldex</w:t>
      </w:r>
      <w:proofErr w:type="spellEnd"/>
      <w:r w:rsidRPr="0036083D">
        <w:rPr>
          <w:rFonts w:ascii="Arial" w:hAnsi="Arial" w:cs="Arial"/>
          <w:sz w:val="22"/>
          <w:szCs w:val="22"/>
        </w:rPr>
        <w:t>, Colombia’s second tier public bank in charge of supporting entrepreneurial development, with additional long term finance to enhance access to long term finance by private sector investors on terms and conditions needed to cover CAPEX and payback requirements of renewable energy projects in the ZNIs through on-lending to IFIs that should in turn provide sub-loans in adequate terms to these investors.</w:t>
      </w:r>
      <w:proofErr w:type="gramEnd"/>
    </w:p>
    <w:p w14:paraId="24C5865E" w14:textId="6EBC0DCF" w:rsidR="00355753" w:rsidRPr="0036083D" w:rsidRDefault="00355753" w:rsidP="0036083D">
      <w:pPr>
        <w:pStyle w:val="AutoNumpara"/>
        <w:spacing w:line="276" w:lineRule="auto"/>
        <w:jc w:val="both"/>
        <w:rPr>
          <w:rFonts w:ascii="Arial" w:hAnsi="Arial" w:cs="Arial"/>
          <w:sz w:val="22"/>
          <w:szCs w:val="22"/>
        </w:rPr>
      </w:pPr>
      <w:r w:rsidRPr="0036083D">
        <w:rPr>
          <w:rFonts w:ascii="Arial" w:hAnsi="Arial" w:cs="Arial"/>
          <w:sz w:val="22"/>
          <w:szCs w:val="22"/>
        </w:rPr>
        <w:t>In order to ensure higher environmental impacts and promote it</w:t>
      </w:r>
      <w:r w:rsidR="00D95462" w:rsidRPr="0036083D">
        <w:rPr>
          <w:rFonts w:ascii="Arial" w:hAnsi="Arial" w:cs="Arial"/>
          <w:sz w:val="22"/>
          <w:szCs w:val="22"/>
        </w:rPr>
        <w:t>s</w:t>
      </w:r>
      <w:r w:rsidRPr="0036083D">
        <w:rPr>
          <w:rFonts w:ascii="Arial" w:hAnsi="Arial" w:cs="Arial"/>
          <w:sz w:val="22"/>
          <w:szCs w:val="22"/>
        </w:rPr>
        <w:t xml:space="preserve"> replication, the program will focus on providing access to </w:t>
      </w:r>
      <w:proofErr w:type="gramStart"/>
      <w:r w:rsidRPr="0036083D">
        <w:rPr>
          <w:rFonts w:ascii="Arial" w:hAnsi="Arial" w:cs="Arial"/>
          <w:sz w:val="22"/>
          <w:szCs w:val="22"/>
        </w:rPr>
        <w:t>long term</w:t>
      </w:r>
      <w:proofErr w:type="gramEnd"/>
      <w:r w:rsidRPr="0036083D">
        <w:rPr>
          <w:rFonts w:ascii="Arial" w:hAnsi="Arial" w:cs="Arial"/>
          <w:sz w:val="22"/>
          <w:szCs w:val="22"/>
        </w:rPr>
        <w:t xml:space="preserve"> finance to energy generation operators and technology providers that already have a credit history and experience with mini-grids and investments in areas not interconnected to the grid. Furthermore, it is expected that the eligible projects would mainly replace both installed and planned increases in diesel capacity  in areas with the highest concentration of users; and that the financing of RE  mini-grids would focus on technologies with highest potential for replication, i.e. hybrid solar-diesel , solar, SHP and biomass.</w:t>
      </w:r>
    </w:p>
    <w:p w14:paraId="35EAC49D" w14:textId="77777777" w:rsidR="00F4040B" w:rsidRPr="0036083D" w:rsidRDefault="00F4040B" w:rsidP="0036083D">
      <w:pPr>
        <w:pStyle w:val="AutoNumpara"/>
        <w:numPr>
          <w:ilvl w:val="0"/>
          <w:numId w:val="0"/>
        </w:numPr>
        <w:spacing w:line="276" w:lineRule="auto"/>
        <w:ind w:left="720"/>
        <w:jc w:val="both"/>
        <w:rPr>
          <w:rFonts w:ascii="Arial" w:hAnsi="Arial" w:cs="Arial"/>
        </w:rPr>
      </w:pPr>
    </w:p>
    <w:p w14:paraId="02DC7CBB" w14:textId="4FACF230" w:rsidR="00985F3C" w:rsidRPr="0036083D" w:rsidRDefault="00985F3C" w:rsidP="0036083D">
      <w:pPr>
        <w:pStyle w:val="ListParagraph"/>
        <w:numPr>
          <w:ilvl w:val="0"/>
          <w:numId w:val="23"/>
        </w:numPr>
        <w:spacing w:after="120" w:line="276" w:lineRule="auto"/>
        <w:contextualSpacing w:val="0"/>
        <w:jc w:val="both"/>
        <w:rPr>
          <w:rFonts w:ascii="Arial" w:hAnsi="Arial" w:cs="Arial"/>
          <w:b/>
          <w:sz w:val="22"/>
          <w:szCs w:val="22"/>
        </w:rPr>
      </w:pPr>
      <w:r w:rsidRPr="0036083D">
        <w:rPr>
          <w:rFonts w:ascii="Arial" w:hAnsi="Arial" w:cs="Arial"/>
          <w:b/>
          <w:sz w:val="22"/>
          <w:szCs w:val="22"/>
        </w:rPr>
        <w:t>Scheme for Implementation and Monitoring</w:t>
      </w:r>
    </w:p>
    <w:p w14:paraId="38D3F294" w14:textId="44BB2146" w:rsidR="00985F3C" w:rsidRPr="0036083D" w:rsidRDefault="00985F3C" w:rsidP="0036083D">
      <w:pPr>
        <w:pStyle w:val="AutoNumpara"/>
        <w:spacing w:after="120" w:line="276" w:lineRule="auto"/>
        <w:jc w:val="both"/>
        <w:rPr>
          <w:rFonts w:ascii="Arial" w:hAnsi="Arial" w:cs="Arial"/>
          <w:sz w:val="22"/>
          <w:szCs w:val="22"/>
        </w:rPr>
      </w:pPr>
      <w:r w:rsidRPr="0036083D">
        <w:rPr>
          <w:rFonts w:ascii="Arial" w:hAnsi="Arial" w:cs="Arial"/>
          <w:sz w:val="22"/>
          <w:szCs w:val="22"/>
        </w:rPr>
        <w:t xml:space="preserve">The executing agency for the program will be Banco de </w:t>
      </w:r>
      <w:proofErr w:type="spellStart"/>
      <w:r w:rsidRPr="0036083D">
        <w:rPr>
          <w:rFonts w:ascii="Arial" w:hAnsi="Arial" w:cs="Arial"/>
          <w:sz w:val="22"/>
          <w:szCs w:val="22"/>
        </w:rPr>
        <w:t>Comercio</w:t>
      </w:r>
      <w:proofErr w:type="spellEnd"/>
      <w:r w:rsidRPr="0036083D">
        <w:rPr>
          <w:rFonts w:ascii="Arial" w:hAnsi="Arial" w:cs="Arial"/>
          <w:sz w:val="22"/>
          <w:szCs w:val="22"/>
        </w:rPr>
        <w:t xml:space="preserve"> Exterior de Colombia S.A. (</w:t>
      </w:r>
      <w:proofErr w:type="spellStart"/>
      <w:r w:rsidRPr="0036083D">
        <w:rPr>
          <w:rFonts w:ascii="Arial" w:hAnsi="Arial" w:cs="Arial"/>
          <w:sz w:val="22"/>
          <w:szCs w:val="22"/>
        </w:rPr>
        <w:t>Bancóldex</w:t>
      </w:r>
      <w:proofErr w:type="spellEnd"/>
      <w:r w:rsidRPr="0036083D">
        <w:rPr>
          <w:rFonts w:ascii="Arial" w:hAnsi="Arial" w:cs="Arial"/>
          <w:sz w:val="22"/>
          <w:szCs w:val="22"/>
        </w:rPr>
        <w:t xml:space="preserve">). </w:t>
      </w:r>
      <w:proofErr w:type="spellStart"/>
      <w:r w:rsidRPr="0036083D">
        <w:rPr>
          <w:rFonts w:ascii="Arial" w:hAnsi="Arial" w:cs="Arial"/>
          <w:sz w:val="22"/>
          <w:szCs w:val="22"/>
        </w:rPr>
        <w:t>Bancóldex</w:t>
      </w:r>
      <w:proofErr w:type="spellEnd"/>
      <w:r w:rsidRPr="0036083D">
        <w:rPr>
          <w:rFonts w:ascii="Arial" w:hAnsi="Arial" w:cs="Arial"/>
          <w:sz w:val="22"/>
          <w:szCs w:val="22"/>
        </w:rPr>
        <w:t xml:space="preserve"> is a well reputed national credit institution with ample experience in finance structuring and fiduciary management</w:t>
      </w:r>
    </w:p>
    <w:p w14:paraId="463D3D0E" w14:textId="77777777" w:rsidR="00985F3C" w:rsidRPr="0036083D" w:rsidRDefault="00985F3C" w:rsidP="0036083D">
      <w:pPr>
        <w:pStyle w:val="AutoNumpara"/>
        <w:spacing w:after="120" w:line="276" w:lineRule="auto"/>
        <w:jc w:val="both"/>
        <w:rPr>
          <w:rFonts w:ascii="Arial" w:hAnsi="Arial" w:cs="Arial"/>
          <w:sz w:val="22"/>
          <w:szCs w:val="22"/>
        </w:rPr>
      </w:pPr>
      <w:proofErr w:type="spellStart"/>
      <w:r w:rsidRPr="0036083D">
        <w:rPr>
          <w:rFonts w:ascii="Arial" w:hAnsi="Arial" w:cs="Arial"/>
          <w:sz w:val="22"/>
          <w:szCs w:val="22"/>
        </w:rPr>
        <w:t>Bancóldex</w:t>
      </w:r>
      <w:proofErr w:type="spellEnd"/>
      <w:r w:rsidRPr="0036083D">
        <w:rPr>
          <w:rFonts w:ascii="Arial" w:hAnsi="Arial" w:cs="Arial"/>
          <w:sz w:val="22"/>
          <w:szCs w:val="22"/>
        </w:rPr>
        <w:t xml:space="preserve"> will execute the program under its current organizational structure. The provisions governing program execution, financial intermediaries' participation, and eligibility of each project to be granted access to the use of funds from the program, will be established in the OR agreed by the IDB and </w:t>
      </w:r>
      <w:proofErr w:type="spellStart"/>
      <w:r w:rsidRPr="0036083D">
        <w:rPr>
          <w:rFonts w:ascii="Arial" w:hAnsi="Arial" w:cs="Arial"/>
          <w:sz w:val="22"/>
          <w:szCs w:val="22"/>
        </w:rPr>
        <w:t>Bancóldex</w:t>
      </w:r>
      <w:proofErr w:type="spellEnd"/>
      <w:r w:rsidRPr="0036083D">
        <w:rPr>
          <w:rFonts w:ascii="Arial" w:hAnsi="Arial" w:cs="Arial"/>
          <w:sz w:val="22"/>
          <w:szCs w:val="22"/>
        </w:rPr>
        <w:t xml:space="preserve">, in accordance with </w:t>
      </w:r>
      <w:proofErr w:type="spellStart"/>
      <w:r w:rsidRPr="0036083D">
        <w:rPr>
          <w:rFonts w:ascii="Arial" w:hAnsi="Arial" w:cs="Arial"/>
          <w:sz w:val="22"/>
          <w:szCs w:val="22"/>
        </w:rPr>
        <w:t>Bancóldex</w:t>
      </w:r>
      <w:proofErr w:type="spellEnd"/>
      <w:r w:rsidRPr="0036083D">
        <w:rPr>
          <w:rFonts w:ascii="Arial" w:hAnsi="Arial" w:cs="Arial"/>
          <w:sz w:val="22"/>
          <w:szCs w:val="22"/>
        </w:rPr>
        <w:t xml:space="preserve"> and IDB standards and policies, local laws, and Colombia's financial industry practice. </w:t>
      </w:r>
      <w:proofErr w:type="spellStart"/>
      <w:r w:rsidRPr="0036083D">
        <w:rPr>
          <w:rFonts w:ascii="Arial" w:hAnsi="Arial" w:cs="Arial"/>
          <w:sz w:val="22"/>
          <w:szCs w:val="22"/>
        </w:rPr>
        <w:t>Bancóldex</w:t>
      </w:r>
      <w:proofErr w:type="spellEnd"/>
      <w:r w:rsidRPr="0036083D">
        <w:rPr>
          <w:rFonts w:ascii="Arial" w:hAnsi="Arial" w:cs="Arial"/>
          <w:sz w:val="22"/>
          <w:szCs w:val="22"/>
        </w:rPr>
        <w:t xml:space="preserve"> will be responsible of supervising the adequate use of program financial resources and of the timely provision of human and technical resources necessary to implement the program. The program will apply the standard procedures established by the IDB for monitoring and evaluation of investment operations, but will also be consistent with reporting obligations to the CTF.</w:t>
      </w:r>
    </w:p>
    <w:p w14:paraId="30AFC83D" w14:textId="3EB9F787" w:rsidR="00473B90" w:rsidRPr="0036083D" w:rsidRDefault="00AD59C8" w:rsidP="0036083D">
      <w:pPr>
        <w:pStyle w:val="AutoNumpara"/>
        <w:spacing w:line="276" w:lineRule="auto"/>
        <w:jc w:val="both"/>
        <w:rPr>
          <w:rFonts w:ascii="Arial" w:hAnsi="Arial" w:cs="Arial"/>
          <w:sz w:val="22"/>
          <w:szCs w:val="22"/>
        </w:rPr>
      </w:pPr>
      <w:r w:rsidRPr="0036083D">
        <w:rPr>
          <w:rFonts w:ascii="Arial" w:hAnsi="Arial" w:cs="Arial"/>
          <w:sz w:val="22"/>
          <w:szCs w:val="22"/>
        </w:rPr>
        <w:t xml:space="preserve">During the disbursement period, </w:t>
      </w:r>
      <w:proofErr w:type="spellStart"/>
      <w:r w:rsidRPr="0036083D">
        <w:rPr>
          <w:rFonts w:ascii="Arial" w:hAnsi="Arial" w:cs="Arial"/>
          <w:sz w:val="22"/>
          <w:szCs w:val="22"/>
        </w:rPr>
        <w:t>Bancóldex</w:t>
      </w:r>
      <w:proofErr w:type="spellEnd"/>
      <w:r w:rsidRPr="0036083D">
        <w:rPr>
          <w:rFonts w:ascii="Arial" w:hAnsi="Arial" w:cs="Arial"/>
          <w:sz w:val="22"/>
          <w:szCs w:val="22"/>
        </w:rPr>
        <w:t xml:space="preserve"> is required to submit audited financial statements of the program within 1</w:t>
      </w:r>
      <w:r w:rsidR="00290E07" w:rsidRPr="0036083D">
        <w:rPr>
          <w:rFonts w:ascii="Arial" w:hAnsi="Arial" w:cs="Arial"/>
          <w:sz w:val="22"/>
          <w:szCs w:val="22"/>
        </w:rPr>
        <w:t>2</w:t>
      </w:r>
      <w:r w:rsidRPr="0036083D">
        <w:rPr>
          <w:rFonts w:ascii="Arial" w:hAnsi="Arial" w:cs="Arial"/>
          <w:sz w:val="22"/>
          <w:szCs w:val="22"/>
        </w:rPr>
        <w:t>0 days after the closing of each fiscal year, duly audited by an independent firm acceptable to the IDB and contracted by the executing agency</w:t>
      </w:r>
    </w:p>
    <w:p w14:paraId="62A19CEE" w14:textId="77777777" w:rsidR="00473B90" w:rsidRPr="0036083D" w:rsidRDefault="00473B90" w:rsidP="0036083D">
      <w:pPr>
        <w:pStyle w:val="AutoNumpara"/>
        <w:numPr>
          <w:ilvl w:val="0"/>
          <w:numId w:val="0"/>
        </w:numPr>
        <w:spacing w:after="120" w:line="276" w:lineRule="auto"/>
        <w:ind w:left="720"/>
        <w:jc w:val="both"/>
        <w:rPr>
          <w:rFonts w:ascii="Arial" w:hAnsi="Arial" w:cs="Arial"/>
          <w:sz w:val="22"/>
          <w:szCs w:val="22"/>
        </w:rPr>
      </w:pPr>
    </w:p>
    <w:p w14:paraId="2ABA716C" w14:textId="77777777" w:rsidR="006E579F" w:rsidRPr="0036083D" w:rsidRDefault="006E579F" w:rsidP="0036083D">
      <w:pPr>
        <w:pStyle w:val="AutoNumpara"/>
        <w:numPr>
          <w:ilvl w:val="0"/>
          <w:numId w:val="0"/>
        </w:numPr>
        <w:spacing w:after="120" w:line="276" w:lineRule="auto"/>
        <w:ind w:left="720"/>
        <w:jc w:val="both"/>
        <w:rPr>
          <w:rFonts w:ascii="Arial" w:hAnsi="Arial" w:cs="Arial"/>
          <w:sz w:val="22"/>
          <w:szCs w:val="22"/>
        </w:rPr>
      </w:pPr>
    </w:p>
    <w:p w14:paraId="67C86684" w14:textId="68D26CD8" w:rsidR="00A63C4E" w:rsidRPr="0036083D" w:rsidRDefault="00A63C4E" w:rsidP="0036083D">
      <w:pPr>
        <w:pStyle w:val="AutoNumpara"/>
        <w:numPr>
          <w:ilvl w:val="0"/>
          <w:numId w:val="0"/>
        </w:numPr>
        <w:spacing w:after="120" w:line="276" w:lineRule="auto"/>
        <w:ind w:left="720"/>
        <w:jc w:val="center"/>
        <w:rPr>
          <w:rFonts w:ascii="Arial" w:hAnsi="Arial" w:cs="Arial"/>
          <w:b/>
          <w:sz w:val="22"/>
          <w:szCs w:val="22"/>
        </w:rPr>
      </w:pPr>
      <w:r w:rsidRPr="0036083D">
        <w:rPr>
          <w:rFonts w:ascii="Arial" w:hAnsi="Arial" w:cs="Arial"/>
          <w:b/>
          <w:sz w:val="22"/>
          <w:szCs w:val="22"/>
        </w:rPr>
        <w:t xml:space="preserve">Table 1.1 Costs of the Program by Expected Output (USD </w:t>
      </w:r>
      <w:proofErr w:type="gramStart"/>
      <w:r w:rsidRPr="0036083D">
        <w:rPr>
          <w:rFonts w:ascii="Arial" w:hAnsi="Arial" w:cs="Arial"/>
          <w:b/>
          <w:sz w:val="22"/>
          <w:szCs w:val="22"/>
        </w:rPr>
        <w:t>million</w:t>
      </w:r>
      <w:proofErr w:type="gramEnd"/>
      <w:r w:rsidRPr="0036083D">
        <w:rPr>
          <w:rFonts w:ascii="Arial" w:hAnsi="Arial" w:cs="Arial"/>
          <w:b/>
          <w:sz w:val="22"/>
          <w:szCs w:val="22"/>
        </w:rPr>
        <w:t>)</w:t>
      </w:r>
    </w:p>
    <w:tbl>
      <w:tblPr>
        <w:tblStyle w:val="TableGrid1"/>
        <w:tblW w:w="7308" w:type="dxa"/>
        <w:tblInd w:w="720" w:type="dxa"/>
        <w:tblLayout w:type="fixed"/>
        <w:tblLook w:val="04A0" w:firstRow="1" w:lastRow="0" w:firstColumn="1" w:lastColumn="0" w:noHBand="0" w:noVBand="1"/>
      </w:tblPr>
      <w:tblGrid>
        <w:gridCol w:w="2898"/>
        <w:gridCol w:w="900"/>
        <w:gridCol w:w="900"/>
        <w:gridCol w:w="900"/>
        <w:gridCol w:w="900"/>
        <w:gridCol w:w="810"/>
      </w:tblGrid>
      <w:tr w:rsidR="00452F70" w:rsidRPr="0036083D" w14:paraId="610F5C6A" w14:textId="77777777" w:rsidTr="00012E2D">
        <w:tc>
          <w:tcPr>
            <w:tcW w:w="2898" w:type="dxa"/>
            <w:tcBorders>
              <w:bottom w:val="single" w:sz="4" w:space="0" w:color="auto"/>
            </w:tcBorders>
            <w:shd w:val="clear" w:color="auto" w:fill="D9D9D9" w:themeFill="background1" w:themeFillShade="D9"/>
          </w:tcPr>
          <w:p w14:paraId="57D45776" w14:textId="77777777" w:rsidR="00452F70" w:rsidRPr="0036083D" w:rsidRDefault="00452F70" w:rsidP="0036083D">
            <w:pPr>
              <w:spacing w:before="80" w:after="80" w:line="276" w:lineRule="auto"/>
              <w:jc w:val="both"/>
              <w:outlineLvl w:val="1"/>
              <w:rPr>
                <w:rFonts w:ascii="Arial" w:eastAsiaTheme="minorHAnsi" w:hAnsi="Arial" w:cs="Arial"/>
                <w:b/>
                <w:sz w:val="20"/>
                <w:lang w:val="x-none" w:eastAsia="x-none"/>
              </w:rPr>
            </w:pPr>
            <w:r w:rsidRPr="0036083D">
              <w:rPr>
                <w:rFonts w:ascii="Arial" w:eastAsia="Calibri" w:hAnsi="Arial" w:cs="Arial"/>
                <w:b/>
                <w:sz w:val="20"/>
                <w:lang w:val="x-none" w:eastAsia="x-none"/>
              </w:rPr>
              <w:t>Cost component</w:t>
            </w:r>
          </w:p>
        </w:tc>
        <w:tc>
          <w:tcPr>
            <w:tcW w:w="900" w:type="dxa"/>
            <w:tcBorders>
              <w:bottom w:val="single" w:sz="4" w:space="0" w:color="auto"/>
            </w:tcBorders>
            <w:shd w:val="clear" w:color="auto" w:fill="D9D9D9" w:themeFill="background1" w:themeFillShade="D9"/>
          </w:tcPr>
          <w:p w14:paraId="082C3AF0" w14:textId="77777777" w:rsidR="00452F70" w:rsidRPr="0036083D" w:rsidRDefault="00452F70" w:rsidP="0036083D">
            <w:pPr>
              <w:spacing w:before="80" w:after="80" w:line="276" w:lineRule="auto"/>
              <w:jc w:val="center"/>
              <w:outlineLvl w:val="1"/>
              <w:rPr>
                <w:rFonts w:ascii="Arial" w:eastAsia="Calibri" w:hAnsi="Arial" w:cs="Arial"/>
                <w:b/>
                <w:sz w:val="20"/>
                <w:lang w:eastAsia="x-none"/>
              </w:rPr>
            </w:pPr>
            <w:r w:rsidRPr="0036083D">
              <w:rPr>
                <w:rFonts w:ascii="Arial" w:eastAsia="Calibri" w:hAnsi="Arial" w:cs="Arial"/>
                <w:b/>
                <w:sz w:val="20"/>
                <w:lang w:eastAsia="x-none"/>
              </w:rPr>
              <w:t>Y1</w:t>
            </w:r>
          </w:p>
        </w:tc>
        <w:tc>
          <w:tcPr>
            <w:tcW w:w="900" w:type="dxa"/>
            <w:tcBorders>
              <w:bottom w:val="single" w:sz="4" w:space="0" w:color="auto"/>
            </w:tcBorders>
            <w:shd w:val="clear" w:color="auto" w:fill="D9D9D9" w:themeFill="background1" w:themeFillShade="D9"/>
          </w:tcPr>
          <w:p w14:paraId="23DDC056" w14:textId="77777777" w:rsidR="00452F70" w:rsidRPr="0036083D" w:rsidRDefault="00452F70" w:rsidP="0036083D">
            <w:pPr>
              <w:spacing w:before="80" w:after="80" w:line="276" w:lineRule="auto"/>
              <w:jc w:val="center"/>
              <w:outlineLvl w:val="1"/>
              <w:rPr>
                <w:rFonts w:ascii="Arial" w:eastAsia="Calibri" w:hAnsi="Arial" w:cs="Arial"/>
                <w:b/>
                <w:sz w:val="20"/>
                <w:lang w:eastAsia="x-none"/>
              </w:rPr>
            </w:pPr>
            <w:r w:rsidRPr="0036083D">
              <w:rPr>
                <w:rFonts w:ascii="Arial" w:eastAsia="Calibri" w:hAnsi="Arial" w:cs="Arial"/>
                <w:b/>
                <w:sz w:val="20"/>
                <w:lang w:eastAsia="x-none"/>
              </w:rPr>
              <w:t>Y2</w:t>
            </w:r>
          </w:p>
        </w:tc>
        <w:tc>
          <w:tcPr>
            <w:tcW w:w="900" w:type="dxa"/>
            <w:tcBorders>
              <w:bottom w:val="single" w:sz="4" w:space="0" w:color="auto"/>
            </w:tcBorders>
            <w:shd w:val="clear" w:color="auto" w:fill="D9D9D9" w:themeFill="background1" w:themeFillShade="D9"/>
          </w:tcPr>
          <w:p w14:paraId="0D287119" w14:textId="77777777" w:rsidR="00452F70" w:rsidRPr="0036083D" w:rsidRDefault="00452F70" w:rsidP="0036083D">
            <w:pPr>
              <w:spacing w:before="80" w:after="80" w:line="276" w:lineRule="auto"/>
              <w:jc w:val="center"/>
              <w:outlineLvl w:val="1"/>
              <w:rPr>
                <w:rFonts w:ascii="Arial" w:eastAsia="Calibri" w:hAnsi="Arial" w:cs="Arial"/>
                <w:b/>
                <w:sz w:val="20"/>
                <w:lang w:eastAsia="x-none"/>
              </w:rPr>
            </w:pPr>
            <w:r w:rsidRPr="0036083D">
              <w:rPr>
                <w:rFonts w:ascii="Arial" w:eastAsia="Calibri" w:hAnsi="Arial" w:cs="Arial"/>
                <w:b/>
                <w:sz w:val="20"/>
                <w:lang w:eastAsia="x-none"/>
              </w:rPr>
              <w:t>Y3</w:t>
            </w:r>
          </w:p>
        </w:tc>
        <w:tc>
          <w:tcPr>
            <w:tcW w:w="900" w:type="dxa"/>
            <w:tcBorders>
              <w:bottom w:val="single" w:sz="4" w:space="0" w:color="auto"/>
            </w:tcBorders>
            <w:shd w:val="clear" w:color="auto" w:fill="D9D9D9" w:themeFill="background1" w:themeFillShade="D9"/>
          </w:tcPr>
          <w:p w14:paraId="638774FE" w14:textId="77777777" w:rsidR="00452F70" w:rsidRPr="0036083D" w:rsidRDefault="00452F70" w:rsidP="0036083D">
            <w:pPr>
              <w:spacing w:before="80" w:after="80" w:line="276" w:lineRule="auto"/>
              <w:jc w:val="center"/>
              <w:outlineLvl w:val="1"/>
              <w:rPr>
                <w:rFonts w:ascii="Arial" w:eastAsia="Calibri" w:hAnsi="Arial" w:cs="Arial"/>
                <w:b/>
                <w:sz w:val="20"/>
                <w:lang w:eastAsia="x-none"/>
              </w:rPr>
            </w:pPr>
            <w:r w:rsidRPr="0036083D">
              <w:rPr>
                <w:rFonts w:ascii="Arial" w:eastAsia="Calibri" w:hAnsi="Arial" w:cs="Arial"/>
                <w:b/>
                <w:sz w:val="20"/>
                <w:lang w:eastAsia="x-none"/>
              </w:rPr>
              <w:t>Y4</w:t>
            </w:r>
          </w:p>
        </w:tc>
        <w:tc>
          <w:tcPr>
            <w:tcW w:w="810" w:type="dxa"/>
            <w:tcBorders>
              <w:bottom w:val="single" w:sz="4" w:space="0" w:color="auto"/>
            </w:tcBorders>
            <w:shd w:val="clear" w:color="auto" w:fill="D9D9D9" w:themeFill="background1" w:themeFillShade="D9"/>
          </w:tcPr>
          <w:p w14:paraId="294F44CE" w14:textId="77777777" w:rsidR="00452F70" w:rsidRPr="0036083D" w:rsidRDefault="00452F70" w:rsidP="0036083D">
            <w:pPr>
              <w:spacing w:before="80" w:after="80" w:line="276" w:lineRule="auto"/>
              <w:jc w:val="center"/>
              <w:outlineLvl w:val="1"/>
              <w:rPr>
                <w:rFonts w:ascii="Arial" w:eastAsiaTheme="minorHAnsi" w:hAnsi="Arial" w:cs="Arial"/>
                <w:b/>
                <w:sz w:val="20"/>
                <w:lang w:eastAsia="x-none"/>
              </w:rPr>
            </w:pPr>
            <w:r w:rsidRPr="0036083D">
              <w:rPr>
                <w:rFonts w:ascii="Arial" w:eastAsia="Calibri" w:hAnsi="Arial" w:cs="Arial"/>
                <w:b/>
                <w:sz w:val="20"/>
                <w:lang w:eastAsia="x-none"/>
              </w:rPr>
              <w:t>Total</w:t>
            </w:r>
          </w:p>
        </w:tc>
      </w:tr>
      <w:tr w:rsidR="00012E2D" w:rsidRPr="0036083D" w14:paraId="080BC9FD" w14:textId="77777777" w:rsidTr="00012E2D">
        <w:trPr>
          <w:trHeight w:val="197"/>
        </w:trPr>
        <w:tc>
          <w:tcPr>
            <w:tcW w:w="2898" w:type="dxa"/>
            <w:tcBorders>
              <w:right w:val="nil"/>
            </w:tcBorders>
          </w:tcPr>
          <w:p w14:paraId="25593696" w14:textId="02C6CCE1" w:rsidR="00012E2D" w:rsidRPr="0036083D" w:rsidRDefault="00012E2D" w:rsidP="0036083D">
            <w:pPr>
              <w:spacing w:before="80" w:after="80" w:line="276" w:lineRule="auto"/>
              <w:outlineLvl w:val="1"/>
              <w:rPr>
                <w:rFonts w:ascii="Arial" w:eastAsiaTheme="minorHAnsi" w:hAnsi="Arial" w:cs="Arial"/>
                <w:sz w:val="20"/>
                <w:lang w:val="x-none" w:eastAsia="x-none"/>
              </w:rPr>
            </w:pPr>
            <w:r w:rsidRPr="0036083D">
              <w:rPr>
                <w:rFonts w:ascii="Arial" w:eastAsia="Calibri" w:hAnsi="Arial" w:cs="Arial"/>
                <w:b/>
                <w:sz w:val="20"/>
                <w:lang w:eastAsia="x-none"/>
              </w:rPr>
              <w:t>Output</w:t>
            </w:r>
          </w:p>
        </w:tc>
        <w:tc>
          <w:tcPr>
            <w:tcW w:w="900" w:type="dxa"/>
            <w:tcBorders>
              <w:left w:val="nil"/>
              <w:right w:val="nil"/>
            </w:tcBorders>
          </w:tcPr>
          <w:p w14:paraId="6A8FD76E" w14:textId="77777777" w:rsidR="00012E2D" w:rsidRPr="0036083D" w:rsidRDefault="00012E2D" w:rsidP="0036083D">
            <w:pPr>
              <w:spacing w:before="80" w:after="80" w:line="276" w:lineRule="auto"/>
              <w:jc w:val="both"/>
              <w:outlineLvl w:val="1"/>
              <w:rPr>
                <w:rFonts w:ascii="Arial" w:eastAsiaTheme="minorHAnsi" w:hAnsi="Arial" w:cs="Arial"/>
                <w:sz w:val="20"/>
                <w:lang w:val="x-none" w:eastAsia="x-none"/>
              </w:rPr>
            </w:pPr>
          </w:p>
        </w:tc>
        <w:tc>
          <w:tcPr>
            <w:tcW w:w="900" w:type="dxa"/>
            <w:tcBorders>
              <w:left w:val="nil"/>
              <w:right w:val="nil"/>
            </w:tcBorders>
          </w:tcPr>
          <w:p w14:paraId="2B4886FB" w14:textId="77777777" w:rsidR="00012E2D" w:rsidRPr="0036083D" w:rsidRDefault="00012E2D" w:rsidP="0036083D">
            <w:pPr>
              <w:spacing w:before="80" w:after="80" w:line="276" w:lineRule="auto"/>
              <w:jc w:val="both"/>
              <w:outlineLvl w:val="1"/>
              <w:rPr>
                <w:rFonts w:ascii="Arial" w:eastAsiaTheme="minorHAnsi" w:hAnsi="Arial" w:cs="Arial"/>
                <w:sz w:val="20"/>
                <w:lang w:val="x-none" w:eastAsia="x-none"/>
              </w:rPr>
            </w:pPr>
          </w:p>
        </w:tc>
        <w:tc>
          <w:tcPr>
            <w:tcW w:w="900" w:type="dxa"/>
            <w:tcBorders>
              <w:left w:val="nil"/>
              <w:right w:val="nil"/>
            </w:tcBorders>
          </w:tcPr>
          <w:p w14:paraId="186F13DE" w14:textId="77777777" w:rsidR="00012E2D" w:rsidRPr="0036083D" w:rsidRDefault="00012E2D" w:rsidP="0036083D">
            <w:pPr>
              <w:spacing w:before="80" w:after="80" w:line="276" w:lineRule="auto"/>
              <w:jc w:val="both"/>
              <w:outlineLvl w:val="1"/>
              <w:rPr>
                <w:rFonts w:ascii="Arial" w:eastAsiaTheme="minorHAnsi" w:hAnsi="Arial" w:cs="Arial"/>
                <w:sz w:val="20"/>
                <w:lang w:val="x-none" w:eastAsia="x-none"/>
              </w:rPr>
            </w:pPr>
          </w:p>
        </w:tc>
        <w:tc>
          <w:tcPr>
            <w:tcW w:w="900" w:type="dxa"/>
            <w:tcBorders>
              <w:left w:val="nil"/>
              <w:right w:val="nil"/>
            </w:tcBorders>
          </w:tcPr>
          <w:p w14:paraId="7859E677" w14:textId="77777777" w:rsidR="00012E2D" w:rsidRPr="0036083D" w:rsidRDefault="00012E2D" w:rsidP="0036083D">
            <w:pPr>
              <w:spacing w:before="80" w:after="80" w:line="276" w:lineRule="auto"/>
              <w:jc w:val="both"/>
              <w:outlineLvl w:val="1"/>
              <w:rPr>
                <w:rFonts w:ascii="Arial" w:eastAsiaTheme="minorHAnsi" w:hAnsi="Arial" w:cs="Arial"/>
                <w:sz w:val="20"/>
                <w:lang w:val="x-none" w:eastAsia="x-none"/>
              </w:rPr>
            </w:pPr>
          </w:p>
        </w:tc>
        <w:tc>
          <w:tcPr>
            <w:tcW w:w="810" w:type="dxa"/>
            <w:tcBorders>
              <w:left w:val="nil"/>
              <w:right w:val="single" w:sz="4" w:space="0" w:color="auto"/>
            </w:tcBorders>
          </w:tcPr>
          <w:p w14:paraId="2BEB53A0" w14:textId="77777777" w:rsidR="00012E2D" w:rsidRPr="0036083D" w:rsidRDefault="00012E2D" w:rsidP="0036083D">
            <w:pPr>
              <w:spacing w:before="80" w:after="80" w:line="276" w:lineRule="auto"/>
              <w:jc w:val="both"/>
              <w:outlineLvl w:val="1"/>
              <w:rPr>
                <w:rFonts w:ascii="Arial" w:eastAsiaTheme="minorHAnsi" w:hAnsi="Arial" w:cs="Arial"/>
                <w:sz w:val="20"/>
                <w:lang w:val="x-none" w:eastAsia="x-none"/>
              </w:rPr>
            </w:pPr>
          </w:p>
        </w:tc>
      </w:tr>
      <w:tr w:rsidR="00452F70" w:rsidRPr="0036083D" w14:paraId="5A8C527C" w14:textId="77777777" w:rsidTr="00012E2D">
        <w:trPr>
          <w:trHeight w:val="512"/>
        </w:trPr>
        <w:tc>
          <w:tcPr>
            <w:tcW w:w="2898" w:type="dxa"/>
          </w:tcPr>
          <w:p w14:paraId="4750A276" w14:textId="1B8D6361" w:rsidR="00452F70" w:rsidRPr="0036083D" w:rsidRDefault="00452F70" w:rsidP="0036083D">
            <w:pPr>
              <w:spacing w:before="80" w:after="80" w:line="276" w:lineRule="auto"/>
              <w:jc w:val="both"/>
              <w:outlineLvl w:val="1"/>
              <w:rPr>
                <w:rFonts w:ascii="Arial" w:eastAsia="Calibri" w:hAnsi="Arial" w:cs="Arial"/>
                <w:sz w:val="20"/>
                <w:lang w:eastAsia="x-none"/>
              </w:rPr>
            </w:pPr>
            <w:r w:rsidRPr="0036083D">
              <w:rPr>
                <w:rFonts w:ascii="Arial" w:eastAsia="Calibri" w:hAnsi="Arial" w:cs="Arial"/>
                <w:sz w:val="20"/>
                <w:lang w:val="x-none" w:eastAsia="x-none"/>
              </w:rPr>
              <w:t>Program funds allocated to eligible projects</w:t>
            </w:r>
            <w:r w:rsidR="0072597F">
              <w:rPr>
                <w:rFonts w:ascii="Arial" w:eastAsia="Calibri" w:hAnsi="Arial" w:cs="Arial"/>
                <w:sz w:val="20"/>
                <w:lang w:val="x-none" w:eastAsia="x-none"/>
              </w:rPr>
              <w:t>.</w:t>
            </w:r>
          </w:p>
        </w:tc>
        <w:tc>
          <w:tcPr>
            <w:tcW w:w="900" w:type="dxa"/>
            <w:vAlign w:val="center"/>
          </w:tcPr>
          <w:p w14:paraId="7B756181" w14:textId="057D7B0C" w:rsidR="00452F70" w:rsidRPr="0036083D" w:rsidRDefault="00452F70" w:rsidP="0036083D">
            <w:pPr>
              <w:spacing w:before="80" w:after="80" w:line="276" w:lineRule="auto"/>
              <w:jc w:val="center"/>
              <w:outlineLvl w:val="1"/>
              <w:rPr>
                <w:rFonts w:ascii="Arial" w:eastAsia="Calibri" w:hAnsi="Arial" w:cs="Arial"/>
                <w:sz w:val="20"/>
                <w:lang w:eastAsia="x-none"/>
              </w:rPr>
            </w:pPr>
            <w:r w:rsidRPr="0036083D">
              <w:rPr>
                <w:rFonts w:ascii="Arial" w:eastAsia="Calibri" w:hAnsi="Arial" w:cs="Arial"/>
                <w:sz w:val="20"/>
                <w:lang w:eastAsia="x-none"/>
              </w:rPr>
              <w:t>2.4</w:t>
            </w:r>
          </w:p>
        </w:tc>
        <w:tc>
          <w:tcPr>
            <w:tcW w:w="900" w:type="dxa"/>
            <w:vAlign w:val="center"/>
          </w:tcPr>
          <w:p w14:paraId="612A8D7E" w14:textId="39E62B64" w:rsidR="00452F70" w:rsidRPr="0036083D" w:rsidRDefault="00784086" w:rsidP="0036083D">
            <w:pPr>
              <w:spacing w:before="80" w:after="80" w:line="276" w:lineRule="auto"/>
              <w:jc w:val="center"/>
              <w:outlineLvl w:val="1"/>
              <w:rPr>
                <w:rFonts w:ascii="Arial" w:eastAsia="Calibri" w:hAnsi="Arial" w:cs="Arial"/>
                <w:sz w:val="20"/>
                <w:lang w:eastAsia="x-none"/>
              </w:rPr>
            </w:pPr>
            <w:r w:rsidRPr="0036083D">
              <w:rPr>
                <w:rFonts w:ascii="Arial" w:eastAsia="Calibri" w:hAnsi="Arial" w:cs="Arial"/>
                <w:sz w:val="20"/>
                <w:lang w:eastAsia="x-none"/>
              </w:rPr>
              <w:t>2.4</w:t>
            </w:r>
          </w:p>
        </w:tc>
        <w:tc>
          <w:tcPr>
            <w:tcW w:w="900" w:type="dxa"/>
            <w:vAlign w:val="center"/>
          </w:tcPr>
          <w:p w14:paraId="38830FBD" w14:textId="4E1B5F5D" w:rsidR="00452F70" w:rsidRPr="0036083D" w:rsidRDefault="00784086" w:rsidP="0036083D">
            <w:pPr>
              <w:spacing w:before="80" w:after="80" w:line="276" w:lineRule="auto"/>
              <w:jc w:val="center"/>
              <w:outlineLvl w:val="1"/>
              <w:rPr>
                <w:rFonts w:ascii="Arial" w:eastAsia="Calibri" w:hAnsi="Arial" w:cs="Arial"/>
                <w:sz w:val="20"/>
                <w:lang w:eastAsia="x-none"/>
              </w:rPr>
            </w:pPr>
            <w:r w:rsidRPr="0036083D">
              <w:rPr>
                <w:rFonts w:ascii="Arial" w:eastAsia="Calibri" w:hAnsi="Arial" w:cs="Arial"/>
                <w:sz w:val="20"/>
                <w:lang w:eastAsia="x-none"/>
              </w:rPr>
              <w:t>2.4</w:t>
            </w:r>
          </w:p>
        </w:tc>
        <w:tc>
          <w:tcPr>
            <w:tcW w:w="900" w:type="dxa"/>
            <w:vAlign w:val="center"/>
          </w:tcPr>
          <w:p w14:paraId="16FF8DE5" w14:textId="0B2649EE" w:rsidR="00452F70" w:rsidRPr="0036083D" w:rsidRDefault="00784086" w:rsidP="0036083D">
            <w:pPr>
              <w:spacing w:before="80" w:after="80" w:line="276" w:lineRule="auto"/>
              <w:jc w:val="center"/>
              <w:outlineLvl w:val="1"/>
              <w:rPr>
                <w:rFonts w:ascii="Arial" w:eastAsia="Calibri" w:hAnsi="Arial" w:cs="Arial"/>
                <w:sz w:val="20"/>
                <w:lang w:eastAsia="x-none"/>
              </w:rPr>
            </w:pPr>
            <w:r w:rsidRPr="0036083D">
              <w:rPr>
                <w:rFonts w:ascii="Arial" w:eastAsia="Calibri" w:hAnsi="Arial" w:cs="Arial"/>
                <w:sz w:val="20"/>
                <w:lang w:eastAsia="x-none"/>
              </w:rPr>
              <w:t>2.4</w:t>
            </w:r>
          </w:p>
        </w:tc>
        <w:tc>
          <w:tcPr>
            <w:tcW w:w="810" w:type="dxa"/>
            <w:vAlign w:val="center"/>
          </w:tcPr>
          <w:p w14:paraId="6D39B973" w14:textId="56EEEC74" w:rsidR="00452F70" w:rsidRPr="0036083D" w:rsidRDefault="00784086" w:rsidP="0036083D">
            <w:pPr>
              <w:keepNext/>
              <w:keepLines/>
              <w:spacing w:before="80" w:after="80" w:line="276" w:lineRule="auto"/>
              <w:jc w:val="right"/>
              <w:outlineLvl w:val="1"/>
              <w:rPr>
                <w:rFonts w:ascii="Arial" w:eastAsia="Calibri" w:hAnsi="Arial" w:cs="Arial"/>
                <w:b/>
                <w:sz w:val="20"/>
                <w:lang w:eastAsia="x-none"/>
              </w:rPr>
            </w:pPr>
            <w:r w:rsidRPr="0036083D">
              <w:rPr>
                <w:rFonts w:ascii="Arial" w:eastAsia="Calibri" w:hAnsi="Arial" w:cs="Arial"/>
                <w:b/>
                <w:sz w:val="20"/>
                <w:lang w:eastAsia="x-none"/>
              </w:rPr>
              <w:t>9.7</w:t>
            </w:r>
          </w:p>
        </w:tc>
      </w:tr>
    </w:tbl>
    <w:p w14:paraId="0E11C97F" w14:textId="77777777" w:rsidR="00A63C4E" w:rsidRDefault="00A63C4E" w:rsidP="0036083D">
      <w:pPr>
        <w:pStyle w:val="AutoNumpara"/>
        <w:numPr>
          <w:ilvl w:val="0"/>
          <w:numId w:val="0"/>
        </w:numPr>
        <w:spacing w:after="120" w:line="276" w:lineRule="auto"/>
        <w:ind w:left="720"/>
        <w:jc w:val="both"/>
        <w:rPr>
          <w:rFonts w:ascii="Arial" w:hAnsi="Arial" w:cs="Arial"/>
          <w:sz w:val="22"/>
          <w:szCs w:val="22"/>
        </w:rPr>
      </w:pPr>
    </w:p>
    <w:p w14:paraId="2F3AC12C" w14:textId="77777777" w:rsidR="00C31215" w:rsidRDefault="00C31215" w:rsidP="0036083D">
      <w:pPr>
        <w:pStyle w:val="AutoNumpara"/>
        <w:numPr>
          <w:ilvl w:val="0"/>
          <w:numId w:val="0"/>
        </w:numPr>
        <w:spacing w:after="120" w:line="276" w:lineRule="auto"/>
        <w:ind w:left="720"/>
        <w:jc w:val="both"/>
        <w:rPr>
          <w:rFonts w:ascii="Arial" w:hAnsi="Arial" w:cs="Arial"/>
          <w:sz w:val="22"/>
          <w:szCs w:val="22"/>
        </w:rPr>
      </w:pPr>
    </w:p>
    <w:p w14:paraId="7C118514" w14:textId="77777777" w:rsidR="00C31215" w:rsidRDefault="00C31215" w:rsidP="0036083D">
      <w:pPr>
        <w:pStyle w:val="AutoNumpara"/>
        <w:numPr>
          <w:ilvl w:val="0"/>
          <w:numId w:val="0"/>
        </w:numPr>
        <w:spacing w:after="120" w:line="276" w:lineRule="auto"/>
        <w:ind w:left="720"/>
        <w:jc w:val="both"/>
        <w:rPr>
          <w:rFonts w:ascii="Arial" w:hAnsi="Arial" w:cs="Arial"/>
          <w:sz w:val="22"/>
          <w:szCs w:val="22"/>
        </w:rPr>
      </w:pPr>
    </w:p>
    <w:p w14:paraId="472B5723" w14:textId="77777777" w:rsidR="00C31215" w:rsidRDefault="00C31215" w:rsidP="0036083D">
      <w:pPr>
        <w:pStyle w:val="AutoNumpara"/>
        <w:numPr>
          <w:ilvl w:val="0"/>
          <w:numId w:val="0"/>
        </w:numPr>
        <w:spacing w:after="120" w:line="276" w:lineRule="auto"/>
        <w:ind w:left="720"/>
        <w:jc w:val="both"/>
        <w:rPr>
          <w:rFonts w:ascii="Arial" w:hAnsi="Arial" w:cs="Arial"/>
          <w:sz w:val="22"/>
          <w:szCs w:val="22"/>
        </w:rPr>
      </w:pPr>
    </w:p>
    <w:p w14:paraId="64BAB1C1" w14:textId="77777777" w:rsidR="00C31215" w:rsidRDefault="00C31215" w:rsidP="0036083D">
      <w:pPr>
        <w:pStyle w:val="AutoNumpara"/>
        <w:numPr>
          <w:ilvl w:val="0"/>
          <w:numId w:val="0"/>
        </w:numPr>
        <w:spacing w:after="120" w:line="276" w:lineRule="auto"/>
        <w:ind w:left="720"/>
        <w:jc w:val="both"/>
        <w:rPr>
          <w:rFonts w:ascii="Arial" w:hAnsi="Arial" w:cs="Arial"/>
          <w:sz w:val="22"/>
          <w:szCs w:val="22"/>
        </w:rPr>
      </w:pPr>
    </w:p>
    <w:p w14:paraId="6942235C" w14:textId="77777777" w:rsidR="00C31215" w:rsidRDefault="00C31215" w:rsidP="0036083D">
      <w:pPr>
        <w:pStyle w:val="AutoNumpara"/>
        <w:numPr>
          <w:ilvl w:val="0"/>
          <w:numId w:val="0"/>
        </w:numPr>
        <w:spacing w:after="120" w:line="276" w:lineRule="auto"/>
        <w:ind w:left="720"/>
        <w:jc w:val="both"/>
        <w:rPr>
          <w:rFonts w:ascii="Arial" w:hAnsi="Arial" w:cs="Arial"/>
          <w:sz w:val="22"/>
          <w:szCs w:val="22"/>
        </w:rPr>
      </w:pPr>
    </w:p>
    <w:p w14:paraId="29536FFE" w14:textId="77777777" w:rsidR="00C31215" w:rsidRDefault="00C31215" w:rsidP="0036083D">
      <w:pPr>
        <w:pStyle w:val="AutoNumpara"/>
        <w:numPr>
          <w:ilvl w:val="0"/>
          <w:numId w:val="0"/>
        </w:numPr>
        <w:spacing w:after="120" w:line="276" w:lineRule="auto"/>
        <w:ind w:left="720"/>
        <w:jc w:val="both"/>
        <w:rPr>
          <w:rFonts w:ascii="Arial" w:hAnsi="Arial" w:cs="Arial"/>
          <w:sz w:val="22"/>
          <w:szCs w:val="22"/>
        </w:rPr>
      </w:pPr>
    </w:p>
    <w:p w14:paraId="00FC2883" w14:textId="77777777" w:rsidR="00C31215" w:rsidRDefault="00C31215" w:rsidP="0036083D">
      <w:pPr>
        <w:pStyle w:val="AutoNumpara"/>
        <w:numPr>
          <w:ilvl w:val="0"/>
          <w:numId w:val="0"/>
        </w:numPr>
        <w:spacing w:after="120" w:line="276" w:lineRule="auto"/>
        <w:ind w:left="720"/>
        <w:jc w:val="both"/>
        <w:rPr>
          <w:rFonts w:ascii="Arial" w:hAnsi="Arial" w:cs="Arial"/>
          <w:sz w:val="22"/>
          <w:szCs w:val="22"/>
        </w:rPr>
      </w:pPr>
    </w:p>
    <w:p w14:paraId="64AAD6C5" w14:textId="77777777" w:rsidR="00C31215" w:rsidRDefault="00C31215" w:rsidP="0036083D">
      <w:pPr>
        <w:pStyle w:val="AutoNumpara"/>
        <w:numPr>
          <w:ilvl w:val="0"/>
          <w:numId w:val="0"/>
        </w:numPr>
        <w:spacing w:after="120" w:line="276" w:lineRule="auto"/>
        <w:ind w:left="720"/>
        <w:jc w:val="both"/>
        <w:rPr>
          <w:rFonts w:ascii="Arial" w:hAnsi="Arial" w:cs="Arial"/>
          <w:sz w:val="22"/>
          <w:szCs w:val="22"/>
        </w:rPr>
      </w:pPr>
    </w:p>
    <w:p w14:paraId="08FE31B7" w14:textId="77777777" w:rsidR="00C31215" w:rsidRDefault="00C31215" w:rsidP="0036083D">
      <w:pPr>
        <w:pStyle w:val="AutoNumpara"/>
        <w:numPr>
          <w:ilvl w:val="0"/>
          <w:numId w:val="0"/>
        </w:numPr>
        <w:spacing w:after="120" w:line="276" w:lineRule="auto"/>
        <w:ind w:left="720"/>
        <w:jc w:val="both"/>
        <w:rPr>
          <w:rFonts w:ascii="Arial" w:hAnsi="Arial" w:cs="Arial"/>
          <w:sz w:val="22"/>
          <w:szCs w:val="22"/>
        </w:rPr>
      </w:pPr>
    </w:p>
    <w:p w14:paraId="1AC5F8DF" w14:textId="77777777" w:rsidR="00C31215" w:rsidRDefault="00C31215" w:rsidP="0036083D">
      <w:pPr>
        <w:pStyle w:val="AutoNumpara"/>
        <w:numPr>
          <w:ilvl w:val="0"/>
          <w:numId w:val="0"/>
        </w:numPr>
        <w:spacing w:after="120" w:line="276" w:lineRule="auto"/>
        <w:ind w:left="720"/>
        <w:jc w:val="both"/>
        <w:rPr>
          <w:rFonts w:ascii="Arial" w:hAnsi="Arial" w:cs="Arial"/>
          <w:sz w:val="22"/>
          <w:szCs w:val="22"/>
        </w:rPr>
      </w:pPr>
    </w:p>
    <w:p w14:paraId="37E9501D" w14:textId="77777777" w:rsidR="00C31215" w:rsidRDefault="00C31215" w:rsidP="0036083D">
      <w:pPr>
        <w:pStyle w:val="AutoNumpara"/>
        <w:numPr>
          <w:ilvl w:val="0"/>
          <w:numId w:val="0"/>
        </w:numPr>
        <w:spacing w:after="120" w:line="276" w:lineRule="auto"/>
        <w:ind w:left="720"/>
        <w:jc w:val="both"/>
        <w:rPr>
          <w:rFonts w:ascii="Arial" w:hAnsi="Arial" w:cs="Arial"/>
          <w:sz w:val="22"/>
          <w:szCs w:val="22"/>
        </w:rPr>
      </w:pPr>
    </w:p>
    <w:p w14:paraId="0CB33EDB" w14:textId="77777777" w:rsidR="00C31215" w:rsidRDefault="00C31215" w:rsidP="0036083D">
      <w:pPr>
        <w:pStyle w:val="AutoNumpara"/>
        <w:numPr>
          <w:ilvl w:val="0"/>
          <w:numId w:val="0"/>
        </w:numPr>
        <w:spacing w:after="120" w:line="276" w:lineRule="auto"/>
        <w:ind w:left="720"/>
        <w:jc w:val="both"/>
        <w:rPr>
          <w:rFonts w:ascii="Arial" w:hAnsi="Arial" w:cs="Arial"/>
          <w:sz w:val="22"/>
          <w:szCs w:val="22"/>
        </w:rPr>
      </w:pPr>
    </w:p>
    <w:p w14:paraId="537F14A0" w14:textId="77777777" w:rsidR="00C31215" w:rsidRDefault="00C31215" w:rsidP="0036083D">
      <w:pPr>
        <w:pStyle w:val="AutoNumpara"/>
        <w:numPr>
          <w:ilvl w:val="0"/>
          <w:numId w:val="0"/>
        </w:numPr>
        <w:spacing w:after="120" w:line="276" w:lineRule="auto"/>
        <w:ind w:left="720"/>
        <w:jc w:val="both"/>
        <w:rPr>
          <w:rFonts w:ascii="Arial" w:hAnsi="Arial" w:cs="Arial"/>
          <w:sz w:val="22"/>
          <w:szCs w:val="22"/>
        </w:rPr>
      </w:pPr>
    </w:p>
    <w:p w14:paraId="4D471963" w14:textId="77777777" w:rsidR="00C31215" w:rsidRDefault="00C31215" w:rsidP="0036083D">
      <w:pPr>
        <w:pStyle w:val="AutoNumpara"/>
        <w:numPr>
          <w:ilvl w:val="0"/>
          <w:numId w:val="0"/>
        </w:numPr>
        <w:spacing w:after="120" w:line="276" w:lineRule="auto"/>
        <w:ind w:left="720"/>
        <w:jc w:val="both"/>
        <w:rPr>
          <w:rFonts w:ascii="Arial" w:hAnsi="Arial" w:cs="Arial"/>
          <w:sz w:val="22"/>
          <w:szCs w:val="22"/>
        </w:rPr>
      </w:pPr>
    </w:p>
    <w:p w14:paraId="3BA5CDF2" w14:textId="77777777" w:rsidR="00C31215" w:rsidRDefault="00C31215" w:rsidP="0036083D">
      <w:pPr>
        <w:pStyle w:val="AutoNumpara"/>
        <w:numPr>
          <w:ilvl w:val="0"/>
          <w:numId w:val="0"/>
        </w:numPr>
        <w:spacing w:after="120" w:line="276" w:lineRule="auto"/>
        <w:ind w:left="720"/>
        <w:jc w:val="both"/>
        <w:rPr>
          <w:rFonts w:ascii="Arial" w:hAnsi="Arial" w:cs="Arial"/>
          <w:sz w:val="22"/>
          <w:szCs w:val="22"/>
        </w:rPr>
      </w:pPr>
    </w:p>
    <w:p w14:paraId="62DA94BA" w14:textId="77777777" w:rsidR="00C31215" w:rsidRDefault="00C31215" w:rsidP="0036083D">
      <w:pPr>
        <w:pStyle w:val="AutoNumpara"/>
        <w:numPr>
          <w:ilvl w:val="0"/>
          <w:numId w:val="0"/>
        </w:numPr>
        <w:spacing w:after="120" w:line="276" w:lineRule="auto"/>
        <w:ind w:left="720"/>
        <w:jc w:val="both"/>
        <w:rPr>
          <w:rFonts w:ascii="Arial" w:hAnsi="Arial" w:cs="Arial"/>
          <w:sz w:val="22"/>
          <w:szCs w:val="22"/>
        </w:rPr>
      </w:pPr>
    </w:p>
    <w:p w14:paraId="76889F46" w14:textId="77777777" w:rsidR="00C31215" w:rsidRDefault="00C31215" w:rsidP="0036083D">
      <w:pPr>
        <w:pStyle w:val="AutoNumpara"/>
        <w:numPr>
          <w:ilvl w:val="0"/>
          <w:numId w:val="0"/>
        </w:numPr>
        <w:spacing w:after="120" w:line="276" w:lineRule="auto"/>
        <w:ind w:left="720"/>
        <w:jc w:val="both"/>
        <w:rPr>
          <w:rFonts w:ascii="Arial" w:hAnsi="Arial" w:cs="Arial"/>
          <w:sz w:val="22"/>
          <w:szCs w:val="22"/>
        </w:rPr>
      </w:pPr>
    </w:p>
    <w:p w14:paraId="72533C5C" w14:textId="77777777" w:rsidR="00C31215" w:rsidRDefault="00C31215" w:rsidP="0036083D">
      <w:pPr>
        <w:pStyle w:val="AutoNumpara"/>
        <w:numPr>
          <w:ilvl w:val="0"/>
          <w:numId w:val="0"/>
        </w:numPr>
        <w:spacing w:after="120" w:line="276" w:lineRule="auto"/>
        <w:ind w:left="720"/>
        <w:jc w:val="both"/>
        <w:rPr>
          <w:rFonts w:ascii="Arial" w:hAnsi="Arial" w:cs="Arial"/>
          <w:sz w:val="22"/>
          <w:szCs w:val="22"/>
        </w:rPr>
      </w:pPr>
    </w:p>
    <w:p w14:paraId="7E3F7FE4" w14:textId="77777777" w:rsidR="00C31215" w:rsidRDefault="00C31215" w:rsidP="0036083D">
      <w:pPr>
        <w:pStyle w:val="AutoNumpara"/>
        <w:numPr>
          <w:ilvl w:val="0"/>
          <w:numId w:val="0"/>
        </w:numPr>
        <w:spacing w:after="120" w:line="276" w:lineRule="auto"/>
        <w:ind w:left="720"/>
        <w:jc w:val="both"/>
        <w:rPr>
          <w:rFonts w:ascii="Arial" w:hAnsi="Arial" w:cs="Arial"/>
          <w:sz w:val="22"/>
          <w:szCs w:val="22"/>
        </w:rPr>
      </w:pPr>
    </w:p>
    <w:p w14:paraId="651A5260" w14:textId="77777777" w:rsidR="00C31215" w:rsidRDefault="00C31215" w:rsidP="0036083D">
      <w:pPr>
        <w:pStyle w:val="AutoNumpara"/>
        <w:numPr>
          <w:ilvl w:val="0"/>
          <w:numId w:val="0"/>
        </w:numPr>
        <w:spacing w:after="120" w:line="276" w:lineRule="auto"/>
        <w:ind w:left="720"/>
        <w:jc w:val="both"/>
        <w:rPr>
          <w:rFonts w:ascii="Arial" w:hAnsi="Arial" w:cs="Arial"/>
          <w:sz w:val="22"/>
          <w:szCs w:val="22"/>
        </w:rPr>
      </w:pPr>
    </w:p>
    <w:p w14:paraId="3DD71327" w14:textId="77777777" w:rsidR="00C31215" w:rsidRDefault="00C31215" w:rsidP="0036083D">
      <w:pPr>
        <w:pStyle w:val="AutoNumpara"/>
        <w:numPr>
          <w:ilvl w:val="0"/>
          <w:numId w:val="0"/>
        </w:numPr>
        <w:spacing w:after="120" w:line="276" w:lineRule="auto"/>
        <w:ind w:left="720"/>
        <w:jc w:val="both"/>
        <w:rPr>
          <w:rFonts w:ascii="Arial" w:hAnsi="Arial" w:cs="Arial"/>
          <w:sz w:val="22"/>
          <w:szCs w:val="22"/>
        </w:rPr>
      </w:pPr>
    </w:p>
    <w:p w14:paraId="7F0696AE" w14:textId="77777777" w:rsidR="00C31215" w:rsidRDefault="00C31215" w:rsidP="0036083D">
      <w:pPr>
        <w:pStyle w:val="AutoNumpara"/>
        <w:numPr>
          <w:ilvl w:val="0"/>
          <w:numId w:val="0"/>
        </w:numPr>
        <w:spacing w:after="120" w:line="276" w:lineRule="auto"/>
        <w:ind w:left="720"/>
        <w:jc w:val="both"/>
        <w:rPr>
          <w:rFonts w:ascii="Arial" w:hAnsi="Arial" w:cs="Arial"/>
          <w:sz w:val="22"/>
          <w:szCs w:val="22"/>
        </w:rPr>
      </w:pPr>
    </w:p>
    <w:p w14:paraId="3ACF9768" w14:textId="77777777" w:rsidR="00C31215" w:rsidRPr="0036083D" w:rsidRDefault="00C31215" w:rsidP="0036083D">
      <w:pPr>
        <w:pStyle w:val="AutoNumpara"/>
        <w:numPr>
          <w:ilvl w:val="0"/>
          <w:numId w:val="0"/>
        </w:numPr>
        <w:spacing w:after="120" w:line="276" w:lineRule="auto"/>
        <w:ind w:left="720"/>
        <w:jc w:val="both"/>
        <w:rPr>
          <w:rFonts w:ascii="Arial" w:hAnsi="Arial" w:cs="Arial"/>
          <w:sz w:val="22"/>
          <w:szCs w:val="22"/>
        </w:rPr>
      </w:pPr>
    </w:p>
    <w:p w14:paraId="414659C2" w14:textId="77777777" w:rsidR="0037093F" w:rsidRPr="0036083D" w:rsidRDefault="00C14D69" w:rsidP="0036083D">
      <w:pPr>
        <w:pStyle w:val="Heading1"/>
        <w:spacing w:after="120" w:line="276" w:lineRule="auto"/>
        <w:jc w:val="center"/>
        <w:rPr>
          <w:rFonts w:ascii="Arial" w:hAnsi="Arial" w:cs="Arial"/>
          <w:color w:val="auto"/>
          <w:sz w:val="22"/>
          <w:szCs w:val="22"/>
        </w:rPr>
      </w:pPr>
      <w:r w:rsidRPr="0036083D">
        <w:rPr>
          <w:rFonts w:ascii="Arial" w:hAnsi="Arial" w:cs="Arial"/>
          <w:color w:val="auto"/>
          <w:sz w:val="22"/>
          <w:szCs w:val="22"/>
        </w:rPr>
        <w:lastRenderedPageBreak/>
        <w:t>Monitoring</w:t>
      </w:r>
    </w:p>
    <w:p w14:paraId="42EE37CD" w14:textId="77777777" w:rsidR="0037093F" w:rsidRPr="0036083D" w:rsidRDefault="0037093F" w:rsidP="0036083D">
      <w:pPr>
        <w:pStyle w:val="ListParagraph"/>
        <w:numPr>
          <w:ilvl w:val="0"/>
          <w:numId w:val="20"/>
        </w:numPr>
        <w:spacing w:after="120" w:line="276" w:lineRule="auto"/>
        <w:jc w:val="both"/>
        <w:rPr>
          <w:rFonts w:ascii="Arial" w:hAnsi="Arial" w:cs="Arial"/>
          <w:b/>
          <w:sz w:val="22"/>
          <w:szCs w:val="22"/>
        </w:rPr>
      </w:pPr>
      <w:r w:rsidRPr="0036083D">
        <w:rPr>
          <w:rFonts w:ascii="Arial" w:hAnsi="Arial" w:cs="Arial"/>
          <w:b/>
          <w:sz w:val="22"/>
          <w:szCs w:val="22"/>
        </w:rPr>
        <w:t>Indicators</w:t>
      </w:r>
    </w:p>
    <w:p w14:paraId="47DF8286" w14:textId="77777777" w:rsidR="0037093F" w:rsidRPr="0036083D" w:rsidRDefault="0037093F" w:rsidP="0036083D">
      <w:pPr>
        <w:pStyle w:val="AutoNumpara"/>
        <w:spacing w:after="120" w:line="276" w:lineRule="auto"/>
        <w:jc w:val="both"/>
        <w:rPr>
          <w:rFonts w:ascii="Arial" w:hAnsi="Arial" w:cs="Arial"/>
          <w:sz w:val="22"/>
          <w:szCs w:val="22"/>
        </w:rPr>
      </w:pPr>
      <w:r w:rsidRPr="0036083D">
        <w:rPr>
          <w:rFonts w:ascii="Arial" w:hAnsi="Arial" w:cs="Arial"/>
          <w:sz w:val="22"/>
          <w:szCs w:val="22"/>
        </w:rPr>
        <w:t xml:space="preserve">The monitoring intends to follow up the execution of the program in order to identify the intermediate milestones achieved in each phase, identify corrective actions if necessary and evaluate its outcomes and fulfillment of proposed targets. The indicators to </w:t>
      </w:r>
      <w:proofErr w:type="gramStart"/>
      <w:r w:rsidRPr="0036083D">
        <w:rPr>
          <w:rFonts w:ascii="Arial" w:hAnsi="Arial" w:cs="Arial"/>
          <w:sz w:val="22"/>
          <w:szCs w:val="22"/>
        </w:rPr>
        <w:t>be monitored</w:t>
      </w:r>
      <w:proofErr w:type="gramEnd"/>
      <w:r w:rsidRPr="0036083D">
        <w:rPr>
          <w:rFonts w:ascii="Arial" w:hAnsi="Arial" w:cs="Arial"/>
          <w:sz w:val="22"/>
          <w:szCs w:val="22"/>
        </w:rPr>
        <w:t xml:space="preserve"> will be those included in the Results Matrix and in the Progress Monitoring Report (PMR). Table 2.1 summarizes them and includes information on the source and frequency of collection and reporting process.</w:t>
      </w:r>
    </w:p>
    <w:p w14:paraId="6D0E4F51" w14:textId="77777777" w:rsidR="00473B90" w:rsidRPr="0036083D" w:rsidRDefault="00473B90" w:rsidP="0036083D">
      <w:pPr>
        <w:pStyle w:val="AutoNumpara"/>
        <w:numPr>
          <w:ilvl w:val="0"/>
          <w:numId w:val="0"/>
        </w:numPr>
        <w:spacing w:after="120" w:line="276" w:lineRule="auto"/>
        <w:ind w:left="720"/>
        <w:jc w:val="both"/>
        <w:rPr>
          <w:rFonts w:ascii="Arial" w:hAnsi="Arial" w:cs="Arial"/>
          <w:sz w:val="22"/>
          <w:szCs w:val="22"/>
        </w:rPr>
      </w:pPr>
    </w:p>
    <w:p w14:paraId="649F1A5B" w14:textId="77777777" w:rsidR="0037093F" w:rsidRPr="0036083D" w:rsidRDefault="0037093F" w:rsidP="0036083D">
      <w:pPr>
        <w:pStyle w:val="AutoNumpara"/>
        <w:numPr>
          <w:ilvl w:val="0"/>
          <w:numId w:val="0"/>
        </w:numPr>
        <w:spacing w:after="120" w:line="276" w:lineRule="auto"/>
        <w:ind w:left="720"/>
        <w:jc w:val="center"/>
        <w:rPr>
          <w:rFonts w:ascii="Arial" w:hAnsi="Arial" w:cs="Arial"/>
          <w:b/>
          <w:sz w:val="22"/>
          <w:szCs w:val="22"/>
        </w:rPr>
      </w:pPr>
      <w:r w:rsidRPr="0036083D">
        <w:rPr>
          <w:rFonts w:ascii="Arial" w:hAnsi="Arial" w:cs="Arial"/>
          <w:b/>
          <w:sz w:val="22"/>
          <w:szCs w:val="22"/>
        </w:rPr>
        <w:t>Table 2.1 Indicators</w:t>
      </w:r>
    </w:p>
    <w:tbl>
      <w:tblPr>
        <w:tblpPr w:leftFromText="180" w:rightFromText="180" w:vertAnchor="text" w:horzAnchor="margin" w:tblpXSpec="center" w:tblpY="247"/>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2504"/>
        <w:gridCol w:w="34"/>
        <w:gridCol w:w="900"/>
        <w:gridCol w:w="1676"/>
        <w:gridCol w:w="34"/>
        <w:gridCol w:w="5276"/>
      </w:tblGrid>
      <w:tr w:rsidR="0037093F" w:rsidRPr="0036083D" w14:paraId="425CBED1" w14:textId="77777777" w:rsidTr="00140CFC">
        <w:trPr>
          <w:cantSplit/>
          <w:trHeight w:val="353"/>
        </w:trPr>
        <w:tc>
          <w:tcPr>
            <w:tcW w:w="2504" w:type="dxa"/>
            <w:tcBorders>
              <w:bottom w:val="single" w:sz="4" w:space="0" w:color="auto"/>
            </w:tcBorders>
            <w:shd w:val="clear" w:color="auto" w:fill="F2F2F2"/>
            <w:vAlign w:val="center"/>
          </w:tcPr>
          <w:p w14:paraId="46C3006E" w14:textId="77777777" w:rsidR="0037093F" w:rsidRPr="0036083D" w:rsidRDefault="0037093F" w:rsidP="0036083D">
            <w:pPr>
              <w:spacing w:line="276" w:lineRule="auto"/>
              <w:jc w:val="center"/>
              <w:rPr>
                <w:rFonts w:ascii="Arial" w:hAnsi="Arial" w:cs="Arial"/>
                <w:b/>
                <w:bCs/>
                <w:sz w:val="20"/>
              </w:rPr>
            </w:pPr>
            <w:r w:rsidRPr="0036083D">
              <w:rPr>
                <w:rFonts w:ascii="Arial" w:hAnsi="Arial" w:cs="Arial"/>
                <w:b/>
                <w:bCs/>
                <w:sz w:val="20"/>
              </w:rPr>
              <w:t>Indicators</w:t>
            </w:r>
          </w:p>
        </w:tc>
        <w:tc>
          <w:tcPr>
            <w:tcW w:w="934" w:type="dxa"/>
            <w:gridSpan w:val="2"/>
            <w:tcBorders>
              <w:bottom w:val="single" w:sz="4" w:space="0" w:color="auto"/>
            </w:tcBorders>
            <w:shd w:val="clear" w:color="auto" w:fill="F2F2F2"/>
            <w:vAlign w:val="center"/>
          </w:tcPr>
          <w:p w14:paraId="41F460F7" w14:textId="77777777" w:rsidR="0037093F" w:rsidRPr="0036083D" w:rsidRDefault="0037093F" w:rsidP="0036083D">
            <w:pPr>
              <w:spacing w:line="276" w:lineRule="auto"/>
              <w:ind w:left="-50" w:firstLine="50"/>
              <w:jc w:val="center"/>
              <w:rPr>
                <w:rFonts w:ascii="Arial" w:hAnsi="Arial" w:cs="Arial"/>
                <w:b/>
                <w:bCs/>
                <w:sz w:val="20"/>
              </w:rPr>
            </w:pPr>
            <w:r w:rsidRPr="0036083D">
              <w:rPr>
                <w:rFonts w:ascii="Arial" w:hAnsi="Arial" w:cs="Arial"/>
                <w:b/>
                <w:bCs/>
                <w:sz w:val="20"/>
              </w:rPr>
              <w:t>Unit</w:t>
            </w:r>
          </w:p>
        </w:tc>
        <w:tc>
          <w:tcPr>
            <w:tcW w:w="1676" w:type="dxa"/>
            <w:tcBorders>
              <w:bottom w:val="single" w:sz="4" w:space="0" w:color="auto"/>
            </w:tcBorders>
            <w:shd w:val="clear" w:color="auto" w:fill="F2F2F2"/>
            <w:vAlign w:val="center"/>
          </w:tcPr>
          <w:p w14:paraId="5738B7E0" w14:textId="77777777" w:rsidR="0037093F" w:rsidRPr="0036083D" w:rsidRDefault="0037093F" w:rsidP="0036083D">
            <w:pPr>
              <w:spacing w:line="276" w:lineRule="auto"/>
              <w:ind w:left="-50" w:firstLine="50"/>
              <w:jc w:val="center"/>
              <w:rPr>
                <w:rFonts w:ascii="Arial" w:hAnsi="Arial" w:cs="Arial"/>
                <w:b/>
                <w:bCs/>
                <w:sz w:val="20"/>
              </w:rPr>
            </w:pPr>
            <w:r w:rsidRPr="0036083D">
              <w:rPr>
                <w:rFonts w:ascii="Arial" w:hAnsi="Arial" w:cs="Arial"/>
                <w:b/>
                <w:bCs/>
                <w:sz w:val="20"/>
              </w:rPr>
              <w:t>Frequency of measurement</w:t>
            </w:r>
          </w:p>
        </w:tc>
        <w:tc>
          <w:tcPr>
            <w:tcW w:w="5310" w:type="dxa"/>
            <w:gridSpan w:val="2"/>
            <w:tcBorders>
              <w:bottom w:val="single" w:sz="4" w:space="0" w:color="auto"/>
            </w:tcBorders>
            <w:shd w:val="clear" w:color="auto" w:fill="F2F2F2"/>
            <w:vAlign w:val="center"/>
          </w:tcPr>
          <w:p w14:paraId="35F2E58A" w14:textId="77777777" w:rsidR="0037093F" w:rsidRPr="0036083D" w:rsidRDefault="0037093F" w:rsidP="0036083D">
            <w:pPr>
              <w:spacing w:line="276" w:lineRule="auto"/>
              <w:jc w:val="center"/>
              <w:rPr>
                <w:rFonts w:ascii="Arial" w:hAnsi="Arial" w:cs="Arial"/>
                <w:b/>
                <w:bCs/>
                <w:sz w:val="20"/>
              </w:rPr>
            </w:pPr>
            <w:r w:rsidRPr="0036083D">
              <w:rPr>
                <w:rFonts w:ascii="Arial" w:hAnsi="Arial" w:cs="Arial"/>
                <w:b/>
                <w:bCs/>
                <w:sz w:val="20"/>
              </w:rPr>
              <w:t>Description / Source of verification</w:t>
            </w:r>
          </w:p>
        </w:tc>
      </w:tr>
      <w:tr w:rsidR="009F1279" w:rsidRPr="0036083D" w14:paraId="54B6DC1E" w14:textId="77777777" w:rsidTr="002276F5">
        <w:trPr>
          <w:cantSplit/>
        </w:trPr>
        <w:tc>
          <w:tcPr>
            <w:tcW w:w="10424" w:type="dxa"/>
            <w:gridSpan w:val="6"/>
            <w:shd w:val="clear" w:color="auto" w:fill="BFBFBF" w:themeFill="background1" w:themeFillShade="BF"/>
            <w:vAlign w:val="center"/>
          </w:tcPr>
          <w:p w14:paraId="1517FFA3" w14:textId="78A7EA1E" w:rsidR="009F1279" w:rsidRPr="0036083D" w:rsidRDefault="00784086" w:rsidP="0036083D">
            <w:pPr>
              <w:spacing w:before="60" w:after="60" w:line="276" w:lineRule="auto"/>
              <w:rPr>
                <w:rFonts w:ascii="Arial" w:hAnsi="Arial" w:cs="Arial"/>
                <w:sz w:val="20"/>
              </w:rPr>
            </w:pPr>
            <w:r w:rsidRPr="0036083D">
              <w:rPr>
                <w:rFonts w:ascii="Arial" w:hAnsi="Arial" w:cs="Arial"/>
                <w:b/>
                <w:smallCaps/>
                <w:sz w:val="20"/>
              </w:rPr>
              <w:t>Output</w:t>
            </w:r>
          </w:p>
        </w:tc>
      </w:tr>
      <w:tr w:rsidR="0037093F" w:rsidRPr="0036083D" w14:paraId="7AC80EDB" w14:textId="77777777" w:rsidTr="00140CFC">
        <w:trPr>
          <w:cantSplit/>
        </w:trPr>
        <w:tc>
          <w:tcPr>
            <w:tcW w:w="2504" w:type="dxa"/>
            <w:tcBorders>
              <w:bottom w:val="single" w:sz="4" w:space="0" w:color="auto"/>
            </w:tcBorders>
            <w:vAlign w:val="center"/>
          </w:tcPr>
          <w:p w14:paraId="062744D1" w14:textId="505AB129" w:rsidR="0037093F" w:rsidRPr="0036083D" w:rsidRDefault="00784086" w:rsidP="0036083D">
            <w:pPr>
              <w:spacing w:before="60" w:after="60" w:line="276" w:lineRule="auto"/>
              <w:rPr>
                <w:rFonts w:ascii="Arial" w:hAnsi="Arial" w:cs="Arial"/>
                <w:sz w:val="20"/>
              </w:rPr>
            </w:pPr>
            <w:r w:rsidRPr="0036083D">
              <w:rPr>
                <w:rFonts w:ascii="Arial" w:hAnsi="Arial" w:cs="Arial"/>
                <w:sz w:val="20"/>
              </w:rPr>
              <w:t>Program funds allocated to eligible projects</w:t>
            </w:r>
          </w:p>
        </w:tc>
        <w:tc>
          <w:tcPr>
            <w:tcW w:w="934" w:type="dxa"/>
            <w:gridSpan w:val="2"/>
            <w:tcBorders>
              <w:bottom w:val="single" w:sz="4" w:space="0" w:color="auto"/>
            </w:tcBorders>
            <w:vAlign w:val="center"/>
          </w:tcPr>
          <w:p w14:paraId="2B87B834" w14:textId="424B54A6" w:rsidR="0037093F" w:rsidRPr="0036083D" w:rsidRDefault="00784086" w:rsidP="0036083D">
            <w:pPr>
              <w:spacing w:before="60" w:after="60" w:line="276" w:lineRule="auto"/>
              <w:jc w:val="center"/>
              <w:rPr>
                <w:rFonts w:ascii="Arial" w:hAnsi="Arial" w:cs="Arial"/>
                <w:sz w:val="20"/>
              </w:rPr>
            </w:pPr>
            <w:r w:rsidRPr="0036083D">
              <w:rPr>
                <w:rFonts w:ascii="Arial" w:hAnsi="Arial" w:cs="Arial"/>
                <w:sz w:val="20"/>
              </w:rPr>
              <w:t>USD Million</w:t>
            </w:r>
          </w:p>
        </w:tc>
        <w:tc>
          <w:tcPr>
            <w:tcW w:w="1676" w:type="dxa"/>
            <w:tcBorders>
              <w:bottom w:val="single" w:sz="4" w:space="0" w:color="auto"/>
            </w:tcBorders>
            <w:vAlign w:val="center"/>
          </w:tcPr>
          <w:p w14:paraId="10B2782A" w14:textId="77777777" w:rsidR="0037093F" w:rsidRPr="0036083D" w:rsidRDefault="0037093F" w:rsidP="0036083D">
            <w:pPr>
              <w:spacing w:before="60" w:after="60" w:line="276" w:lineRule="auto"/>
              <w:jc w:val="center"/>
              <w:rPr>
                <w:rFonts w:ascii="Arial" w:hAnsi="Arial" w:cs="Arial"/>
                <w:sz w:val="20"/>
              </w:rPr>
            </w:pPr>
            <w:r w:rsidRPr="0036083D">
              <w:rPr>
                <w:rFonts w:ascii="Arial" w:hAnsi="Arial" w:cs="Arial"/>
                <w:sz w:val="20"/>
              </w:rPr>
              <w:t>Annual</w:t>
            </w:r>
          </w:p>
        </w:tc>
        <w:tc>
          <w:tcPr>
            <w:tcW w:w="5310" w:type="dxa"/>
            <w:gridSpan w:val="2"/>
            <w:tcBorders>
              <w:bottom w:val="single" w:sz="4" w:space="0" w:color="auto"/>
            </w:tcBorders>
            <w:vAlign w:val="center"/>
          </w:tcPr>
          <w:p w14:paraId="27CC4F5F" w14:textId="4F52CA29" w:rsidR="0037093F" w:rsidRPr="0036083D" w:rsidRDefault="00882A7D" w:rsidP="0036083D">
            <w:pPr>
              <w:spacing w:before="60" w:after="60" w:line="276" w:lineRule="auto"/>
              <w:rPr>
                <w:rFonts w:ascii="Arial" w:hAnsi="Arial" w:cs="Arial"/>
                <w:sz w:val="20"/>
              </w:rPr>
            </w:pPr>
            <w:r w:rsidRPr="0036083D">
              <w:rPr>
                <w:rFonts w:ascii="Arial" w:hAnsi="Arial" w:cs="Arial"/>
                <w:sz w:val="20"/>
              </w:rPr>
              <w:t>This indicator follows the allocation of</w:t>
            </w:r>
            <w:r w:rsidR="0050254E">
              <w:rPr>
                <w:rFonts w:ascii="Arial" w:hAnsi="Arial" w:cs="Arial"/>
                <w:sz w:val="20"/>
              </w:rPr>
              <w:t xml:space="preserve"> CTF funds to eligible projects</w:t>
            </w:r>
            <w:r w:rsidR="0037093F" w:rsidRPr="0036083D">
              <w:rPr>
                <w:rFonts w:ascii="Arial" w:hAnsi="Arial" w:cs="Arial"/>
                <w:sz w:val="20"/>
              </w:rPr>
              <w:t>.</w:t>
            </w:r>
            <w:r w:rsidR="0072597F">
              <w:rPr>
                <w:rFonts w:ascii="Arial" w:hAnsi="Arial" w:cs="Arial"/>
                <w:sz w:val="20"/>
              </w:rPr>
              <w:t xml:space="preserve"> Although not in the results matrix, the number of projects </w:t>
            </w:r>
            <w:r w:rsidR="005071EF">
              <w:rPr>
                <w:rFonts w:ascii="Arial" w:hAnsi="Arial" w:cs="Arial"/>
                <w:sz w:val="20"/>
              </w:rPr>
              <w:t>(</w:t>
            </w:r>
            <w:r w:rsidR="00321F04">
              <w:rPr>
                <w:rFonts w:ascii="Arial" w:hAnsi="Arial" w:cs="Arial"/>
                <w:sz w:val="20"/>
              </w:rPr>
              <w:t>and size and</w:t>
            </w:r>
            <w:r w:rsidR="005071EF">
              <w:rPr>
                <w:rFonts w:ascii="Arial" w:hAnsi="Arial" w:cs="Arial"/>
                <w:sz w:val="20"/>
              </w:rPr>
              <w:t xml:space="preserve"> technology used) </w:t>
            </w:r>
            <w:r w:rsidR="0072597F">
              <w:rPr>
                <w:rFonts w:ascii="Arial" w:hAnsi="Arial" w:cs="Arial"/>
                <w:sz w:val="20"/>
              </w:rPr>
              <w:t xml:space="preserve">financed by the program will be monitored by the Program Report from </w:t>
            </w:r>
            <w:proofErr w:type="spellStart"/>
            <w:r w:rsidR="0072597F">
              <w:rPr>
                <w:rFonts w:ascii="Arial" w:hAnsi="Arial" w:cs="Arial"/>
                <w:sz w:val="20"/>
              </w:rPr>
              <w:t>Bancóldex</w:t>
            </w:r>
            <w:proofErr w:type="spellEnd"/>
            <w:r w:rsidR="0072597F">
              <w:rPr>
                <w:rStyle w:val="FootnoteReference"/>
              </w:rPr>
              <w:footnoteReference w:id="1"/>
            </w:r>
            <w:r w:rsidR="0072597F">
              <w:rPr>
                <w:rFonts w:ascii="Arial" w:hAnsi="Arial" w:cs="Arial"/>
                <w:sz w:val="20"/>
              </w:rPr>
              <w:t>.</w:t>
            </w:r>
          </w:p>
          <w:p w14:paraId="640DA6E2" w14:textId="6D411741" w:rsidR="0037093F" w:rsidRPr="0036083D" w:rsidRDefault="0037093F" w:rsidP="0036083D">
            <w:pPr>
              <w:spacing w:before="60" w:after="60" w:line="276" w:lineRule="auto"/>
              <w:rPr>
                <w:rFonts w:ascii="Arial" w:hAnsi="Arial" w:cs="Arial"/>
                <w:sz w:val="20"/>
              </w:rPr>
            </w:pPr>
            <w:proofErr w:type="gramStart"/>
            <w:r w:rsidRPr="0036083D">
              <w:rPr>
                <w:rFonts w:ascii="Arial" w:hAnsi="Arial" w:cs="Arial"/>
                <w:sz w:val="20"/>
              </w:rPr>
              <w:t xml:space="preserve">Source: Program report from </w:t>
            </w:r>
            <w:proofErr w:type="spellStart"/>
            <w:r w:rsidR="00140CFC" w:rsidRPr="0036083D">
              <w:rPr>
                <w:rFonts w:ascii="Arial" w:hAnsi="Arial" w:cs="Arial"/>
                <w:sz w:val="20"/>
              </w:rPr>
              <w:t>Bancóldex</w:t>
            </w:r>
            <w:proofErr w:type="spellEnd"/>
            <w:r w:rsidRPr="0036083D">
              <w:rPr>
                <w:rFonts w:ascii="Arial" w:hAnsi="Arial" w:cs="Arial"/>
                <w:sz w:val="20"/>
              </w:rPr>
              <w:t>.</w:t>
            </w:r>
            <w:proofErr w:type="gramEnd"/>
            <w:r w:rsidRPr="0036083D">
              <w:rPr>
                <w:rFonts w:ascii="Arial" w:hAnsi="Arial" w:cs="Arial"/>
                <w:sz w:val="20"/>
              </w:rPr>
              <w:t xml:space="preserve"> </w:t>
            </w:r>
          </w:p>
        </w:tc>
      </w:tr>
      <w:tr w:rsidR="0037093F" w:rsidRPr="0036083D" w14:paraId="59F2AE13" w14:textId="77777777" w:rsidTr="00DB67F2">
        <w:trPr>
          <w:cantSplit/>
        </w:trPr>
        <w:tc>
          <w:tcPr>
            <w:tcW w:w="10424" w:type="dxa"/>
            <w:gridSpan w:val="6"/>
            <w:tcBorders>
              <w:bottom w:val="single" w:sz="4" w:space="0" w:color="auto"/>
            </w:tcBorders>
            <w:shd w:val="clear" w:color="auto" w:fill="BFBFBF" w:themeFill="background1" w:themeFillShade="BF"/>
            <w:vAlign w:val="center"/>
          </w:tcPr>
          <w:p w14:paraId="16D08E60" w14:textId="69DC0878" w:rsidR="0037093F" w:rsidRPr="0036083D" w:rsidRDefault="0037093F" w:rsidP="0036083D">
            <w:pPr>
              <w:spacing w:before="60" w:after="60" w:line="276" w:lineRule="auto"/>
              <w:rPr>
                <w:rFonts w:ascii="Arial" w:hAnsi="Arial" w:cs="Arial"/>
                <w:sz w:val="20"/>
              </w:rPr>
            </w:pPr>
            <w:r w:rsidRPr="0036083D">
              <w:rPr>
                <w:rFonts w:ascii="Arial" w:hAnsi="Arial" w:cs="Arial"/>
                <w:b/>
                <w:smallCaps/>
                <w:sz w:val="20"/>
              </w:rPr>
              <w:t>R</w:t>
            </w:r>
            <w:r w:rsidR="00882A7D" w:rsidRPr="0036083D">
              <w:rPr>
                <w:rFonts w:ascii="Arial" w:hAnsi="Arial" w:cs="Arial"/>
                <w:b/>
                <w:smallCaps/>
                <w:sz w:val="20"/>
              </w:rPr>
              <w:t>esults</w:t>
            </w:r>
          </w:p>
        </w:tc>
      </w:tr>
      <w:tr w:rsidR="00DB67F2" w:rsidRPr="0036083D" w14:paraId="4F204463" w14:textId="77777777" w:rsidTr="00140CFC">
        <w:trPr>
          <w:cantSplit/>
        </w:trPr>
        <w:tc>
          <w:tcPr>
            <w:tcW w:w="2538" w:type="dxa"/>
            <w:gridSpan w:val="2"/>
            <w:vAlign w:val="center"/>
          </w:tcPr>
          <w:p w14:paraId="17CB1DE0" w14:textId="1589E418" w:rsidR="00DB67F2" w:rsidRPr="0036083D" w:rsidRDefault="00882A7D" w:rsidP="0036083D">
            <w:pPr>
              <w:spacing w:after="200" w:line="276" w:lineRule="auto"/>
              <w:contextualSpacing/>
              <w:rPr>
                <w:rFonts w:ascii="Arial" w:eastAsiaTheme="minorEastAsia" w:hAnsi="Arial" w:cs="Arial"/>
                <w:sz w:val="20"/>
              </w:rPr>
            </w:pPr>
            <w:r w:rsidRPr="0036083D">
              <w:rPr>
                <w:rFonts w:ascii="Arial" w:hAnsi="Arial" w:cs="Arial"/>
                <w:sz w:val="20"/>
              </w:rPr>
              <w:t>Additional investment leveraged by the program beneficiaries</w:t>
            </w:r>
          </w:p>
        </w:tc>
        <w:tc>
          <w:tcPr>
            <w:tcW w:w="900" w:type="dxa"/>
            <w:vAlign w:val="center"/>
          </w:tcPr>
          <w:p w14:paraId="6645CEBF" w14:textId="66003BEA" w:rsidR="00DB67F2" w:rsidRPr="0036083D" w:rsidRDefault="00882A7D" w:rsidP="0036083D">
            <w:pPr>
              <w:spacing w:before="60" w:after="60" w:line="276" w:lineRule="auto"/>
              <w:jc w:val="center"/>
              <w:rPr>
                <w:rFonts w:ascii="Arial" w:eastAsiaTheme="minorEastAsia" w:hAnsi="Arial" w:cs="Arial"/>
                <w:sz w:val="20"/>
              </w:rPr>
            </w:pPr>
            <w:r w:rsidRPr="0036083D">
              <w:rPr>
                <w:rFonts w:ascii="Arial" w:hAnsi="Arial" w:cs="Arial"/>
                <w:sz w:val="20"/>
              </w:rPr>
              <w:t>USD Million</w:t>
            </w:r>
          </w:p>
        </w:tc>
        <w:tc>
          <w:tcPr>
            <w:tcW w:w="1710" w:type="dxa"/>
            <w:gridSpan w:val="2"/>
            <w:vAlign w:val="center"/>
          </w:tcPr>
          <w:p w14:paraId="1F197451" w14:textId="32077FFD" w:rsidR="00DB67F2" w:rsidRPr="0036083D" w:rsidRDefault="00882A7D" w:rsidP="0036083D">
            <w:pPr>
              <w:spacing w:before="60" w:after="60" w:line="276" w:lineRule="auto"/>
              <w:jc w:val="center"/>
              <w:rPr>
                <w:rFonts w:ascii="Arial" w:eastAsiaTheme="minorEastAsia" w:hAnsi="Arial" w:cs="Arial"/>
                <w:sz w:val="20"/>
              </w:rPr>
            </w:pPr>
            <w:r w:rsidRPr="0036083D">
              <w:rPr>
                <w:rFonts w:ascii="Arial" w:hAnsi="Arial" w:cs="Arial"/>
                <w:sz w:val="20"/>
              </w:rPr>
              <w:t>Annual</w:t>
            </w:r>
            <w:r w:rsidR="00DB67F2" w:rsidRPr="0036083D">
              <w:rPr>
                <w:rFonts w:ascii="Arial" w:hAnsi="Arial" w:cs="Arial"/>
                <w:sz w:val="20"/>
              </w:rPr>
              <w:t xml:space="preserve"> </w:t>
            </w:r>
          </w:p>
        </w:tc>
        <w:tc>
          <w:tcPr>
            <w:tcW w:w="5276" w:type="dxa"/>
            <w:vAlign w:val="center"/>
          </w:tcPr>
          <w:p w14:paraId="37780FEF" w14:textId="3A3A2F46" w:rsidR="00882A7D" w:rsidRPr="0036083D" w:rsidRDefault="00882A7D" w:rsidP="0036083D">
            <w:pPr>
              <w:spacing w:before="60" w:after="60" w:line="276" w:lineRule="auto"/>
              <w:rPr>
                <w:rFonts w:ascii="Arial" w:eastAsiaTheme="minorEastAsia" w:hAnsi="Arial" w:cs="Arial"/>
                <w:sz w:val="20"/>
              </w:rPr>
            </w:pPr>
            <w:proofErr w:type="gramStart"/>
            <w:r w:rsidRPr="0036083D">
              <w:rPr>
                <w:rFonts w:ascii="Arial" w:eastAsiaTheme="minorEastAsia" w:hAnsi="Arial" w:cs="Arial"/>
                <w:sz w:val="20"/>
              </w:rPr>
              <w:t>Volume of additional investment leveraged by the program beneficiaries.</w:t>
            </w:r>
            <w:proofErr w:type="gramEnd"/>
            <w:r w:rsidRPr="0036083D">
              <w:rPr>
                <w:rFonts w:ascii="Arial" w:eastAsiaTheme="minorEastAsia" w:hAnsi="Arial" w:cs="Arial"/>
                <w:sz w:val="20"/>
              </w:rPr>
              <w:t xml:space="preserve"> Includes all financing from sources other than the CTF (private equity, government, </w:t>
            </w:r>
            <w:proofErr w:type="spellStart"/>
            <w:r w:rsidRPr="0036083D">
              <w:rPr>
                <w:rFonts w:ascii="Arial" w:eastAsiaTheme="minorEastAsia" w:hAnsi="Arial" w:cs="Arial"/>
                <w:sz w:val="20"/>
              </w:rPr>
              <w:t>Bancóldex</w:t>
            </w:r>
            <w:proofErr w:type="spellEnd"/>
            <w:r w:rsidRPr="0036083D">
              <w:rPr>
                <w:rFonts w:ascii="Arial" w:eastAsiaTheme="minorEastAsia" w:hAnsi="Arial" w:cs="Arial"/>
                <w:sz w:val="20"/>
              </w:rPr>
              <w:t xml:space="preserve"> and other financial institutions). </w:t>
            </w:r>
          </w:p>
          <w:p w14:paraId="781EC2B3" w14:textId="31F68647" w:rsidR="00DB67F2" w:rsidRPr="0036083D" w:rsidRDefault="00882A7D" w:rsidP="0036083D">
            <w:pPr>
              <w:spacing w:before="60" w:after="60" w:line="276" w:lineRule="auto"/>
              <w:rPr>
                <w:rFonts w:ascii="Arial" w:eastAsiaTheme="minorEastAsia" w:hAnsi="Arial" w:cs="Arial"/>
                <w:sz w:val="20"/>
              </w:rPr>
            </w:pPr>
            <w:proofErr w:type="gramStart"/>
            <w:r w:rsidRPr="0036083D">
              <w:rPr>
                <w:rFonts w:ascii="Arial" w:eastAsiaTheme="minorEastAsia" w:hAnsi="Arial" w:cs="Arial"/>
                <w:sz w:val="20"/>
              </w:rPr>
              <w:t xml:space="preserve">Source:  Program report from </w:t>
            </w:r>
            <w:proofErr w:type="spellStart"/>
            <w:r w:rsidRPr="0036083D">
              <w:rPr>
                <w:rFonts w:ascii="Arial" w:eastAsiaTheme="minorEastAsia" w:hAnsi="Arial" w:cs="Arial"/>
                <w:sz w:val="20"/>
              </w:rPr>
              <w:t>Bancóldex</w:t>
            </w:r>
            <w:proofErr w:type="spellEnd"/>
            <w:r w:rsidRPr="0036083D">
              <w:rPr>
                <w:rFonts w:ascii="Arial" w:eastAsiaTheme="minorEastAsia" w:hAnsi="Arial" w:cs="Arial"/>
                <w:sz w:val="20"/>
              </w:rPr>
              <w:t>.</w:t>
            </w:r>
            <w:proofErr w:type="gramEnd"/>
          </w:p>
        </w:tc>
      </w:tr>
      <w:tr w:rsidR="00DB67F2" w:rsidRPr="0036083D" w14:paraId="62BC4D56" w14:textId="77777777" w:rsidTr="00140CFC">
        <w:trPr>
          <w:cantSplit/>
        </w:trPr>
        <w:tc>
          <w:tcPr>
            <w:tcW w:w="2538" w:type="dxa"/>
            <w:gridSpan w:val="2"/>
            <w:tcBorders>
              <w:bottom w:val="single" w:sz="4" w:space="0" w:color="auto"/>
            </w:tcBorders>
            <w:vAlign w:val="center"/>
          </w:tcPr>
          <w:p w14:paraId="2931966A" w14:textId="24EF5511" w:rsidR="00DB67F2" w:rsidRPr="0036083D" w:rsidRDefault="00882A7D" w:rsidP="0036083D">
            <w:pPr>
              <w:spacing w:before="60" w:after="60" w:line="276" w:lineRule="auto"/>
              <w:rPr>
                <w:rFonts w:ascii="Arial" w:hAnsi="Arial" w:cs="Arial"/>
                <w:sz w:val="20"/>
              </w:rPr>
            </w:pPr>
            <w:r w:rsidRPr="0036083D">
              <w:rPr>
                <w:rFonts w:ascii="Arial" w:hAnsi="Arial" w:cs="Arial"/>
                <w:sz w:val="20"/>
              </w:rPr>
              <w:t>Greenhouse Gas emissions reduced by projects financed by the program.</w:t>
            </w:r>
          </w:p>
        </w:tc>
        <w:tc>
          <w:tcPr>
            <w:tcW w:w="900" w:type="dxa"/>
            <w:tcBorders>
              <w:bottom w:val="single" w:sz="4" w:space="0" w:color="auto"/>
            </w:tcBorders>
            <w:vAlign w:val="center"/>
          </w:tcPr>
          <w:p w14:paraId="474C0EB2" w14:textId="77777777" w:rsidR="00DB67F2" w:rsidRPr="0036083D" w:rsidRDefault="00DB67F2" w:rsidP="0036083D">
            <w:pPr>
              <w:spacing w:before="60" w:after="60" w:line="276" w:lineRule="auto"/>
              <w:rPr>
                <w:rFonts w:ascii="Arial" w:eastAsiaTheme="minorEastAsia" w:hAnsi="Arial" w:cs="Arial"/>
                <w:sz w:val="20"/>
              </w:rPr>
            </w:pPr>
            <w:r w:rsidRPr="0036083D">
              <w:rPr>
                <w:rFonts w:ascii="Arial" w:eastAsiaTheme="minorEastAsia" w:hAnsi="Arial" w:cs="Arial"/>
                <w:sz w:val="20"/>
              </w:rPr>
              <w:t>tCO</w:t>
            </w:r>
            <w:r w:rsidRPr="0036083D">
              <w:rPr>
                <w:rFonts w:ascii="Arial" w:eastAsiaTheme="minorEastAsia" w:hAnsi="Arial" w:cs="Arial"/>
                <w:sz w:val="20"/>
                <w:vertAlign w:val="subscript"/>
              </w:rPr>
              <w:t>2e</w:t>
            </w:r>
          </w:p>
          <w:p w14:paraId="6E64321B" w14:textId="77777777" w:rsidR="00DB67F2" w:rsidRPr="0036083D" w:rsidRDefault="00DB67F2" w:rsidP="0036083D">
            <w:pPr>
              <w:spacing w:before="60" w:after="60" w:line="276" w:lineRule="auto"/>
              <w:jc w:val="center"/>
              <w:rPr>
                <w:rFonts w:ascii="Arial" w:hAnsi="Arial" w:cs="Arial"/>
                <w:sz w:val="20"/>
              </w:rPr>
            </w:pPr>
          </w:p>
        </w:tc>
        <w:tc>
          <w:tcPr>
            <w:tcW w:w="1710" w:type="dxa"/>
            <w:gridSpan w:val="2"/>
            <w:tcBorders>
              <w:bottom w:val="single" w:sz="4" w:space="0" w:color="auto"/>
            </w:tcBorders>
            <w:vAlign w:val="center"/>
          </w:tcPr>
          <w:p w14:paraId="14E31F3C" w14:textId="0C9F44FF" w:rsidR="00DB67F2" w:rsidRPr="0036083D" w:rsidRDefault="00882A7D" w:rsidP="0036083D">
            <w:pPr>
              <w:spacing w:before="60" w:after="60" w:line="276" w:lineRule="auto"/>
              <w:jc w:val="center"/>
              <w:rPr>
                <w:rFonts w:ascii="Arial" w:hAnsi="Arial" w:cs="Arial"/>
                <w:sz w:val="20"/>
              </w:rPr>
            </w:pPr>
            <w:r w:rsidRPr="0036083D">
              <w:rPr>
                <w:rFonts w:ascii="Arial" w:eastAsiaTheme="minorEastAsia" w:hAnsi="Arial" w:cs="Arial"/>
                <w:sz w:val="20"/>
              </w:rPr>
              <w:t>Annual</w:t>
            </w:r>
            <w:r w:rsidR="00DB67F2" w:rsidRPr="0036083D">
              <w:rPr>
                <w:rFonts w:ascii="Arial" w:eastAsiaTheme="minorEastAsia" w:hAnsi="Arial" w:cs="Arial"/>
                <w:sz w:val="20"/>
              </w:rPr>
              <w:t xml:space="preserve"> </w:t>
            </w:r>
          </w:p>
        </w:tc>
        <w:tc>
          <w:tcPr>
            <w:tcW w:w="5276" w:type="dxa"/>
            <w:tcBorders>
              <w:bottom w:val="single" w:sz="4" w:space="0" w:color="auto"/>
            </w:tcBorders>
            <w:vAlign w:val="center"/>
          </w:tcPr>
          <w:p w14:paraId="67C37CAD" w14:textId="44E017F7" w:rsidR="00DB67F2" w:rsidRPr="0036083D" w:rsidRDefault="00DB67F2" w:rsidP="0036083D">
            <w:pPr>
              <w:spacing w:before="60" w:after="60" w:line="276" w:lineRule="auto"/>
              <w:rPr>
                <w:rFonts w:ascii="Arial" w:eastAsiaTheme="minorEastAsia" w:hAnsi="Arial" w:cs="Arial"/>
                <w:sz w:val="20"/>
              </w:rPr>
            </w:pPr>
            <w:r w:rsidRPr="0036083D">
              <w:rPr>
                <w:rFonts w:ascii="Arial" w:eastAsiaTheme="minorEastAsia" w:hAnsi="Arial" w:cs="Arial"/>
                <w:sz w:val="20"/>
              </w:rPr>
              <w:t xml:space="preserve">Tons of GHG emissions that </w:t>
            </w:r>
            <w:proofErr w:type="gramStart"/>
            <w:r w:rsidRPr="0036083D">
              <w:rPr>
                <w:rFonts w:ascii="Arial" w:eastAsiaTheme="minorEastAsia" w:hAnsi="Arial" w:cs="Arial"/>
                <w:sz w:val="20"/>
              </w:rPr>
              <w:t xml:space="preserve">will be </w:t>
            </w:r>
            <w:r w:rsidR="005B1B3E" w:rsidRPr="0036083D">
              <w:rPr>
                <w:rFonts w:ascii="Arial" w:eastAsiaTheme="minorEastAsia" w:hAnsi="Arial" w:cs="Arial"/>
                <w:sz w:val="20"/>
              </w:rPr>
              <w:t>reduced</w:t>
            </w:r>
            <w:proofErr w:type="gramEnd"/>
            <w:r w:rsidR="005B1B3E" w:rsidRPr="0036083D">
              <w:rPr>
                <w:rFonts w:ascii="Arial" w:eastAsiaTheme="minorEastAsia" w:hAnsi="Arial" w:cs="Arial"/>
                <w:sz w:val="20"/>
              </w:rPr>
              <w:t xml:space="preserve"> by </w:t>
            </w:r>
            <w:r w:rsidR="00EB1A5D" w:rsidRPr="0036083D">
              <w:rPr>
                <w:rFonts w:ascii="Arial" w:eastAsiaTheme="minorEastAsia" w:hAnsi="Arial" w:cs="Arial"/>
                <w:sz w:val="20"/>
              </w:rPr>
              <w:t>renewable energy</w:t>
            </w:r>
            <w:r w:rsidR="005B1B3E" w:rsidRPr="0036083D">
              <w:rPr>
                <w:rFonts w:ascii="Arial" w:eastAsiaTheme="minorEastAsia" w:hAnsi="Arial" w:cs="Arial"/>
                <w:sz w:val="20"/>
              </w:rPr>
              <w:t xml:space="preserve"> financed by the program</w:t>
            </w:r>
            <w:r w:rsidRPr="0036083D">
              <w:rPr>
                <w:rFonts w:ascii="Arial" w:eastAsiaTheme="minorEastAsia" w:hAnsi="Arial" w:cs="Arial"/>
                <w:sz w:val="20"/>
              </w:rPr>
              <w:t>.</w:t>
            </w:r>
          </w:p>
          <w:p w14:paraId="5192EBA3" w14:textId="685B507F" w:rsidR="00DB67F2" w:rsidRPr="0036083D" w:rsidRDefault="00DB67F2" w:rsidP="0036083D">
            <w:pPr>
              <w:spacing w:before="60" w:after="60" w:line="276" w:lineRule="auto"/>
              <w:rPr>
                <w:rFonts w:ascii="Arial" w:eastAsiaTheme="minorEastAsia" w:hAnsi="Arial" w:cs="Arial"/>
                <w:sz w:val="20"/>
              </w:rPr>
            </w:pPr>
            <w:r w:rsidRPr="0036083D">
              <w:rPr>
                <w:rFonts w:ascii="Arial" w:eastAsiaTheme="minorEastAsia" w:hAnsi="Arial" w:cs="Arial"/>
                <w:sz w:val="20"/>
              </w:rPr>
              <w:t xml:space="preserve">Source: IDB estimations made </w:t>
            </w:r>
            <w:r w:rsidR="00EB1A5D" w:rsidRPr="0036083D">
              <w:rPr>
                <w:rFonts w:ascii="Arial" w:eastAsiaTheme="minorEastAsia" w:hAnsi="Arial" w:cs="Arial"/>
                <w:sz w:val="20"/>
              </w:rPr>
              <w:t xml:space="preserve">using information of renewable energy </w:t>
            </w:r>
            <w:r w:rsidR="00AF28D5" w:rsidRPr="0036083D">
              <w:rPr>
                <w:rFonts w:ascii="Arial" w:eastAsiaTheme="minorEastAsia" w:hAnsi="Arial" w:cs="Arial"/>
                <w:sz w:val="20"/>
              </w:rPr>
              <w:t>generated by financed projects coming fro</w:t>
            </w:r>
            <w:r w:rsidR="00831EDF" w:rsidRPr="0036083D">
              <w:rPr>
                <w:rFonts w:ascii="Arial" w:eastAsiaTheme="minorEastAsia" w:hAnsi="Arial" w:cs="Arial"/>
                <w:sz w:val="20"/>
              </w:rPr>
              <w:t xml:space="preserve">m Program Report from </w:t>
            </w:r>
            <w:proofErr w:type="spellStart"/>
            <w:r w:rsidR="00831EDF" w:rsidRPr="0036083D">
              <w:rPr>
                <w:rFonts w:ascii="Arial" w:eastAsiaTheme="minorEastAsia" w:hAnsi="Arial" w:cs="Arial"/>
                <w:sz w:val="20"/>
              </w:rPr>
              <w:t>Bancoldex</w:t>
            </w:r>
            <w:proofErr w:type="spellEnd"/>
            <w:r w:rsidR="00831EDF" w:rsidRPr="0036083D">
              <w:rPr>
                <w:rFonts w:ascii="Arial" w:eastAsiaTheme="minorEastAsia" w:hAnsi="Arial" w:cs="Arial"/>
                <w:sz w:val="20"/>
              </w:rPr>
              <w:t xml:space="preserve"> and the emissions factor of Diesel.</w:t>
            </w:r>
            <w:r w:rsidR="00A4010B">
              <w:rPr>
                <w:rFonts w:ascii="Arial" w:eastAsiaTheme="minorEastAsia" w:hAnsi="Arial" w:cs="Arial"/>
                <w:sz w:val="20"/>
              </w:rPr>
              <w:t xml:space="preserve"> This indicator will be computed using actual</w:t>
            </w:r>
            <w:r w:rsidR="009F0EF8">
              <w:rPr>
                <w:rFonts w:ascii="Arial" w:eastAsiaTheme="minorEastAsia" w:hAnsi="Arial" w:cs="Arial"/>
                <w:sz w:val="20"/>
              </w:rPr>
              <w:t>, ex-post</w:t>
            </w:r>
            <w:r w:rsidR="00A4010B">
              <w:rPr>
                <w:rFonts w:ascii="Arial" w:eastAsiaTheme="minorEastAsia" w:hAnsi="Arial" w:cs="Arial"/>
                <w:sz w:val="20"/>
              </w:rPr>
              <w:t xml:space="preserve"> information of generation by RE projects financed by the program during its lifespan. </w:t>
            </w:r>
          </w:p>
          <w:p w14:paraId="68320A26" w14:textId="0C66B08C" w:rsidR="00DB67F2" w:rsidRPr="0036083D" w:rsidRDefault="00DB67F2" w:rsidP="0036083D">
            <w:pPr>
              <w:spacing w:before="60" w:after="60" w:line="276" w:lineRule="auto"/>
              <w:rPr>
                <w:rFonts w:ascii="Arial" w:hAnsi="Arial" w:cs="Arial"/>
                <w:sz w:val="20"/>
              </w:rPr>
            </w:pPr>
            <w:r w:rsidRPr="0036083D">
              <w:rPr>
                <w:rFonts w:ascii="Arial" w:eastAsiaTheme="minorEastAsia" w:hAnsi="Arial" w:cs="Arial"/>
                <w:sz w:val="20"/>
              </w:rPr>
              <w:t>tCO</w:t>
            </w:r>
            <w:r w:rsidRPr="0036083D">
              <w:rPr>
                <w:rFonts w:ascii="Arial" w:eastAsiaTheme="minorEastAsia" w:hAnsi="Arial" w:cs="Arial"/>
                <w:sz w:val="20"/>
                <w:vertAlign w:val="subscript"/>
              </w:rPr>
              <w:t>2e</w:t>
            </w:r>
            <w:r w:rsidRPr="0036083D">
              <w:rPr>
                <w:rFonts w:ascii="Arial" w:eastAsiaTheme="minorEastAsia" w:hAnsi="Arial" w:cs="Arial"/>
                <w:sz w:val="20"/>
              </w:rPr>
              <w:t xml:space="preserve"> = Tons of CO</w:t>
            </w:r>
            <w:r w:rsidRPr="0036083D">
              <w:rPr>
                <w:rFonts w:ascii="Arial" w:eastAsiaTheme="minorEastAsia" w:hAnsi="Arial" w:cs="Arial"/>
                <w:sz w:val="20"/>
                <w:vertAlign w:val="subscript"/>
              </w:rPr>
              <w:t>2</w:t>
            </w:r>
            <w:r w:rsidRPr="0036083D">
              <w:rPr>
                <w:rFonts w:ascii="Arial" w:eastAsiaTheme="minorEastAsia" w:hAnsi="Arial" w:cs="Arial"/>
                <w:sz w:val="20"/>
              </w:rPr>
              <w:t xml:space="preserve"> equivalent</w:t>
            </w:r>
          </w:p>
        </w:tc>
      </w:tr>
      <w:tr w:rsidR="006672C2" w:rsidRPr="0036083D" w14:paraId="087CEDE8" w14:textId="77777777" w:rsidTr="006672C2">
        <w:trPr>
          <w:cantSplit/>
          <w:trHeight w:val="2555"/>
        </w:trPr>
        <w:tc>
          <w:tcPr>
            <w:tcW w:w="2538" w:type="dxa"/>
            <w:gridSpan w:val="2"/>
            <w:vAlign w:val="center"/>
          </w:tcPr>
          <w:p w14:paraId="384B8B06" w14:textId="72945D2A" w:rsidR="006672C2" w:rsidRPr="0036083D" w:rsidRDefault="006672C2" w:rsidP="00321F04">
            <w:pPr>
              <w:spacing w:after="200" w:line="276" w:lineRule="auto"/>
              <w:contextualSpacing/>
              <w:rPr>
                <w:rFonts w:ascii="Arial" w:eastAsiaTheme="minorEastAsia" w:hAnsi="Arial" w:cs="Arial"/>
                <w:sz w:val="20"/>
              </w:rPr>
            </w:pPr>
            <w:r w:rsidRPr="0036083D">
              <w:rPr>
                <w:rFonts w:ascii="Arial" w:eastAsiaTheme="minorEastAsia" w:hAnsi="Arial" w:cs="Arial"/>
                <w:sz w:val="20"/>
              </w:rPr>
              <w:lastRenderedPageBreak/>
              <w:t xml:space="preserve">Average hours of electricity provided to localities served by </w:t>
            </w:r>
            <w:r w:rsidR="00321F04">
              <w:rPr>
                <w:rFonts w:ascii="Arial" w:eastAsiaTheme="minorEastAsia" w:hAnsi="Arial" w:cs="Arial"/>
                <w:sz w:val="20"/>
              </w:rPr>
              <w:t>RE plants.</w:t>
            </w:r>
          </w:p>
        </w:tc>
        <w:tc>
          <w:tcPr>
            <w:tcW w:w="900" w:type="dxa"/>
            <w:vAlign w:val="center"/>
          </w:tcPr>
          <w:p w14:paraId="45214862" w14:textId="77777777" w:rsidR="006672C2" w:rsidRPr="0036083D" w:rsidRDefault="006672C2" w:rsidP="0036083D">
            <w:pPr>
              <w:spacing w:before="60" w:after="60" w:line="276" w:lineRule="auto"/>
              <w:jc w:val="center"/>
              <w:rPr>
                <w:rFonts w:ascii="Arial" w:eastAsiaTheme="minorEastAsia" w:hAnsi="Arial" w:cs="Arial"/>
                <w:sz w:val="20"/>
              </w:rPr>
            </w:pPr>
            <w:r w:rsidRPr="0036083D">
              <w:rPr>
                <w:rFonts w:ascii="Arial" w:eastAsiaTheme="minorEastAsia" w:hAnsi="Arial" w:cs="Arial"/>
                <w:sz w:val="20"/>
              </w:rPr>
              <w:t>Number of hours</w:t>
            </w:r>
          </w:p>
        </w:tc>
        <w:tc>
          <w:tcPr>
            <w:tcW w:w="1710" w:type="dxa"/>
            <w:gridSpan w:val="2"/>
            <w:vAlign w:val="center"/>
          </w:tcPr>
          <w:p w14:paraId="28E2C453" w14:textId="77777777" w:rsidR="006672C2" w:rsidRPr="0036083D" w:rsidRDefault="006672C2" w:rsidP="0036083D">
            <w:pPr>
              <w:spacing w:before="60" w:after="60" w:line="276" w:lineRule="auto"/>
              <w:jc w:val="center"/>
              <w:rPr>
                <w:rFonts w:ascii="Arial" w:eastAsiaTheme="minorEastAsia" w:hAnsi="Arial" w:cs="Arial"/>
                <w:sz w:val="20"/>
              </w:rPr>
            </w:pPr>
            <w:r w:rsidRPr="0036083D">
              <w:rPr>
                <w:rFonts w:ascii="Arial" w:eastAsiaTheme="minorEastAsia" w:hAnsi="Arial" w:cs="Arial"/>
                <w:sz w:val="20"/>
              </w:rPr>
              <w:t>Annual</w:t>
            </w:r>
          </w:p>
        </w:tc>
        <w:tc>
          <w:tcPr>
            <w:tcW w:w="5276" w:type="dxa"/>
            <w:vAlign w:val="center"/>
          </w:tcPr>
          <w:p w14:paraId="1E926D23" w14:textId="44DF2B5B" w:rsidR="006672C2" w:rsidRPr="0036083D" w:rsidRDefault="006672C2" w:rsidP="0036083D">
            <w:pPr>
              <w:spacing w:before="60" w:after="60" w:line="276" w:lineRule="auto"/>
              <w:rPr>
                <w:rFonts w:ascii="Arial" w:eastAsiaTheme="minorEastAsia" w:hAnsi="Arial" w:cs="Arial"/>
                <w:sz w:val="20"/>
              </w:rPr>
            </w:pPr>
            <w:r w:rsidRPr="0036083D">
              <w:rPr>
                <w:rFonts w:ascii="Arial" w:eastAsiaTheme="minorEastAsia" w:hAnsi="Arial" w:cs="Arial"/>
                <w:sz w:val="20"/>
              </w:rPr>
              <w:t>This indicator measures the number of hours of electricity generated by RE financed by the program. The baseline consists of the RE hours generated in the target group before the program.</w:t>
            </w:r>
          </w:p>
          <w:p w14:paraId="7271880A" w14:textId="77777777" w:rsidR="006672C2" w:rsidRPr="0036083D" w:rsidRDefault="006672C2" w:rsidP="0036083D">
            <w:pPr>
              <w:spacing w:before="60" w:after="60" w:line="276" w:lineRule="auto"/>
              <w:rPr>
                <w:rFonts w:ascii="Arial" w:eastAsiaTheme="minorEastAsia" w:hAnsi="Arial" w:cs="Arial"/>
                <w:sz w:val="20"/>
              </w:rPr>
            </w:pPr>
            <w:proofErr w:type="gramStart"/>
            <w:r w:rsidRPr="0036083D">
              <w:rPr>
                <w:rFonts w:ascii="Arial" w:eastAsiaTheme="minorEastAsia" w:hAnsi="Arial" w:cs="Arial"/>
                <w:sz w:val="20"/>
              </w:rPr>
              <w:t xml:space="preserve">Source:  Program report from </w:t>
            </w:r>
            <w:proofErr w:type="spellStart"/>
            <w:r w:rsidRPr="0036083D">
              <w:rPr>
                <w:rFonts w:ascii="Arial" w:eastAsiaTheme="minorEastAsia" w:hAnsi="Arial" w:cs="Arial"/>
                <w:sz w:val="20"/>
              </w:rPr>
              <w:t>Bancóldex</w:t>
            </w:r>
            <w:proofErr w:type="spellEnd"/>
            <w:r w:rsidRPr="0036083D">
              <w:rPr>
                <w:rFonts w:ascii="Arial" w:eastAsiaTheme="minorEastAsia" w:hAnsi="Arial" w:cs="Arial"/>
                <w:sz w:val="20"/>
              </w:rPr>
              <w:t>.</w:t>
            </w:r>
            <w:proofErr w:type="gramEnd"/>
            <w:r w:rsidRPr="0036083D">
              <w:rPr>
                <w:rFonts w:ascii="Arial" w:eastAsiaTheme="minorEastAsia" w:hAnsi="Arial" w:cs="Arial"/>
                <w:sz w:val="20"/>
              </w:rPr>
              <w:t xml:space="preserve"> </w:t>
            </w:r>
          </w:p>
        </w:tc>
      </w:tr>
      <w:tr w:rsidR="006672C2" w:rsidRPr="0036083D" w14:paraId="21A37F14" w14:textId="77777777" w:rsidTr="00140CFC">
        <w:trPr>
          <w:cantSplit/>
          <w:trHeight w:val="2555"/>
        </w:trPr>
        <w:tc>
          <w:tcPr>
            <w:tcW w:w="2538" w:type="dxa"/>
            <w:gridSpan w:val="2"/>
            <w:vAlign w:val="center"/>
          </w:tcPr>
          <w:p w14:paraId="565AF377" w14:textId="2482D235" w:rsidR="006672C2" w:rsidRPr="0036083D" w:rsidRDefault="006672C2" w:rsidP="0036083D">
            <w:pPr>
              <w:spacing w:after="200" w:line="276" w:lineRule="auto"/>
              <w:contextualSpacing/>
              <w:rPr>
                <w:rFonts w:ascii="Arial" w:eastAsiaTheme="minorEastAsia" w:hAnsi="Arial" w:cs="Arial"/>
                <w:sz w:val="20"/>
              </w:rPr>
            </w:pPr>
            <w:proofErr w:type="gramStart"/>
            <w:r w:rsidRPr="0036083D">
              <w:rPr>
                <w:rFonts w:ascii="Arial" w:eastAsiaTheme="minorEastAsia" w:hAnsi="Arial" w:cs="Arial"/>
                <w:sz w:val="20"/>
              </w:rPr>
              <w:t>RE generation by project beneficiary firms compared to non-beneficiaries.</w:t>
            </w:r>
            <w:proofErr w:type="gramEnd"/>
          </w:p>
        </w:tc>
        <w:tc>
          <w:tcPr>
            <w:tcW w:w="900" w:type="dxa"/>
            <w:vAlign w:val="center"/>
          </w:tcPr>
          <w:p w14:paraId="7A3B0068" w14:textId="7316BB50" w:rsidR="006672C2" w:rsidRPr="0036083D" w:rsidDel="00722F74" w:rsidRDefault="006672C2" w:rsidP="0036083D">
            <w:pPr>
              <w:spacing w:before="60" w:after="60" w:line="276" w:lineRule="auto"/>
              <w:jc w:val="center"/>
              <w:rPr>
                <w:rFonts w:ascii="Arial" w:eastAsiaTheme="minorEastAsia" w:hAnsi="Arial" w:cs="Arial"/>
                <w:sz w:val="20"/>
              </w:rPr>
            </w:pPr>
            <w:r w:rsidRPr="0036083D">
              <w:rPr>
                <w:rFonts w:ascii="Arial" w:eastAsiaTheme="minorEastAsia" w:hAnsi="Arial" w:cs="Arial"/>
                <w:sz w:val="20"/>
              </w:rPr>
              <w:t>kWh</w:t>
            </w:r>
          </w:p>
        </w:tc>
        <w:tc>
          <w:tcPr>
            <w:tcW w:w="1710" w:type="dxa"/>
            <w:gridSpan w:val="2"/>
            <w:vAlign w:val="center"/>
          </w:tcPr>
          <w:p w14:paraId="448B9BD4" w14:textId="4A1CD244" w:rsidR="006672C2" w:rsidRPr="0036083D" w:rsidRDefault="006672C2" w:rsidP="0036083D">
            <w:pPr>
              <w:spacing w:before="60" w:after="60" w:line="276" w:lineRule="auto"/>
              <w:jc w:val="center"/>
              <w:rPr>
                <w:rFonts w:ascii="Arial" w:eastAsiaTheme="minorEastAsia" w:hAnsi="Arial" w:cs="Arial"/>
                <w:sz w:val="20"/>
              </w:rPr>
            </w:pPr>
            <w:r w:rsidRPr="0036083D">
              <w:rPr>
                <w:rFonts w:ascii="Arial" w:eastAsiaTheme="minorEastAsia" w:hAnsi="Arial" w:cs="Arial"/>
                <w:sz w:val="20"/>
              </w:rPr>
              <w:t>Annual</w:t>
            </w:r>
          </w:p>
        </w:tc>
        <w:tc>
          <w:tcPr>
            <w:tcW w:w="5276" w:type="dxa"/>
            <w:vAlign w:val="center"/>
          </w:tcPr>
          <w:p w14:paraId="3E77931A" w14:textId="47826EEA" w:rsidR="006672C2" w:rsidRPr="0036083D" w:rsidRDefault="006672C2" w:rsidP="0036083D">
            <w:pPr>
              <w:spacing w:before="60" w:after="60" w:line="276" w:lineRule="auto"/>
              <w:rPr>
                <w:rFonts w:ascii="Arial" w:eastAsiaTheme="minorEastAsia" w:hAnsi="Arial" w:cs="Arial"/>
                <w:sz w:val="20"/>
              </w:rPr>
            </w:pPr>
            <w:r w:rsidRPr="0036083D">
              <w:rPr>
                <w:rFonts w:ascii="Arial" w:eastAsiaTheme="minorEastAsia" w:hAnsi="Arial" w:cs="Arial"/>
                <w:sz w:val="20"/>
              </w:rPr>
              <w:t xml:space="preserve">This indicator measures the difference between the RE generated by projects financed by the program and the RE generated by non-beneficiaries. </w:t>
            </w:r>
          </w:p>
          <w:p w14:paraId="51ABC9E4" w14:textId="2E663BB1" w:rsidR="006672C2" w:rsidRPr="0036083D" w:rsidRDefault="006672C2" w:rsidP="0036083D">
            <w:pPr>
              <w:spacing w:before="60" w:after="60" w:line="276" w:lineRule="auto"/>
              <w:rPr>
                <w:rFonts w:ascii="Arial" w:eastAsiaTheme="minorEastAsia" w:hAnsi="Arial" w:cs="Arial"/>
                <w:sz w:val="20"/>
              </w:rPr>
            </w:pPr>
            <w:r w:rsidRPr="0036083D">
              <w:rPr>
                <w:rFonts w:ascii="Arial" w:eastAsiaTheme="minorEastAsia" w:hAnsi="Arial" w:cs="Arial"/>
                <w:sz w:val="20"/>
              </w:rPr>
              <w:t xml:space="preserve">A comparison group </w:t>
            </w:r>
            <w:proofErr w:type="gramStart"/>
            <w:r w:rsidRPr="0036083D">
              <w:rPr>
                <w:rFonts w:ascii="Arial" w:eastAsiaTheme="minorEastAsia" w:hAnsi="Arial" w:cs="Arial"/>
                <w:sz w:val="20"/>
              </w:rPr>
              <w:t xml:space="preserve">will be </w:t>
            </w:r>
            <w:r w:rsidR="000119FD" w:rsidRPr="0036083D">
              <w:rPr>
                <w:rFonts w:ascii="Arial" w:eastAsiaTheme="minorEastAsia" w:hAnsi="Arial" w:cs="Arial"/>
                <w:sz w:val="20"/>
              </w:rPr>
              <w:t>identified</w:t>
            </w:r>
            <w:proofErr w:type="gramEnd"/>
            <w:r w:rsidRPr="0036083D">
              <w:rPr>
                <w:rFonts w:ascii="Arial" w:eastAsiaTheme="minorEastAsia" w:hAnsi="Arial" w:cs="Arial"/>
                <w:sz w:val="20"/>
              </w:rPr>
              <w:t xml:space="preserve"> from the target group </w:t>
            </w:r>
            <w:r w:rsidR="000119FD" w:rsidRPr="0036083D">
              <w:rPr>
                <w:rFonts w:ascii="Arial" w:eastAsiaTheme="minorEastAsia" w:hAnsi="Arial" w:cs="Arial"/>
                <w:sz w:val="20"/>
              </w:rPr>
              <w:t>defined</w:t>
            </w:r>
            <w:r w:rsidRPr="0036083D">
              <w:rPr>
                <w:rFonts w:ascii="Arial" w:eastAsiaTheme="minorEastAsia" w:hAnsi="Arial" w:cs="Arial"/>
                <w:sz w:val="20"/>
              </w:rPr>
              <w:t xml:space="preserve"> in th</w:t>
            </w:r>
            <w:r w:rsidR="000119FD" w:rsidRPr="0036083D">
              <w:rPr>
                <w:rFonts w:ascii="Arial" w:eastAsiaTheme="minorEastAsia" w:hAnsi="Arial" w:cs="Arial"/>
                <w:sz w:val="20"/>
              </w:rPr>
              <w:t>e Economic A</w:t>
            </w:r>
            <w:r w:rsidRPr="0036083D">
              <w:rPr>
                <w:rFonts w:ascii="Arial" w:eastAsiaTheme="minorEastAsia" w:hAnsi="Arial" w:cs="Arial"/>
                <w:sz w:val="20"/>
              </w:rPr>
              <w:t>nalysis (See Annex)</w:t>
            </w:r>
            <w:r w:rsidR="000119FD" w:rsidRPr="0036083D">
              <w:rPr>
                <w:rFonts w:ascii="Arial" w:eastAsiaTheme="minorEastAsia" w:hAnsi="Arial" w:cs="Arial"/>
                <w:sz w:val="20"/>
              </w:rPr>
              <w:t xml:space="preserve">. </w:t>
            </w:r>
            <w:r w:rsidR="00AD559A">
              <w:rPr>
                <w:rFonts w:ascii="Arial" w:eastAsiaTheme="minorEastAsia" w:hAnsi="Arial" w:cs="Arial"/>
                <w:sz w:val="20"/>
              </w:rPr>
              <w:t>The energy and financial authorities (IPSE and SSPD</w:t>
            </w:r>
            <w:r w:rsidR="00E1393B">
              <w:rPr>
                <w:rStyle w:val="FootnoteReference"/>
                <w:rFonts w:eastAsiaTheme="minorEastAsia"/>
              </w:rPr>
              <w:footnoteReference w:id="2"/>
            </w:r>
            <w:r w:rsidR="00AD559A">
              <w:rPr>
                <w:rFonts w:ascii="Arial" w:eastAsiaTheme="minorEastAsia" w:hAnsi="Arial" w:cs="Arial"/>
                <w:sz w:val="20"/>
              </w:rPr>
              <w:t xml:space="preserve">) generate periodic data on generation by operators in the ZNIs. The information from the counterfactual will primarily come from this source. However, in case the information </w:t>
            </w:r>
            <w:proofErr w:type="gramStart"/>
            <w:r w:rsidR="00AD559A">
              <w:rPr>
                <w:rFonts w:ascii="Arial" w:eastAsiaTheme="minorEastAsia" w:hAnsi="Arial" w:cs="Arial"/>
                <w:sz w:val="20"/>
              </w:rPr>
              <w:t>is not released</w:t>
            </w:r>
            <w:proofErr w:type="gramEnd"/>
            <w:r w:rsidR="00AD559A">
              <w:rPr>
                <w:rFonts w:ascii="Arial" w:eastAsiaTheme="minorEastAsia" w:hAnsi="Arial" w:cs="Arial"/>
                <w:sz w:val="20"/>
              </w:rPr>
              <w:t xml:space="preserve"> for some years, t</w:t>
            </w:r>
            <w:r w:rsidR="000119FD" w:rsidRPr="0036083D">
              <w:rPr>
                <w:rFonts w:ascii="Arial" w:eastAsiaTheme="minorEastAsia" w:hAnsi="Arial" w:cs="Arial"/>
                <w:sz w:val="20"/>
              </w:rPr>
              <w:t xml:space="preserve">he members of this group will be surveyed to gather information about RE generation and investments. </w:t>
            </w:r>
          </w:p>
          <w:p w14:paraId="68753C73" w14:textId="77777777" w:rsidR="000119FD" w:rsidRPr="0036083D" w:rsidRDefault="000119FD" w:rsidP="0036083D">
            <w:pPr>
              <w:spacing w:before="60" w:after="60" w:line="276" w:lineRule="auto"/>
              <w:rPr>
                <w:rFonts w:ascii="Arial" w:eastAsiaTheme="minorEastAsia" w:hAnsi="Arial" w:cs="Arial"/>
                <w:sz w:val="20"/>
              </w:rPr>
            </w:pPr>
          </w:p>
          <w:p w14:paraId="3AE5EC35" w14:textId="03BA2573" w:rsidR="000119FD" w:rsidRPr="0036083D" w:rsidDel="00722F74" w:rsidRDefault="000119FD" w:rsidP="0036083D">
            <w:pPr>
              <w:spacing w:before="60" w:after="60" w:line="276" w:lineRule="auto"/>
              <w:rPr>
                <w:rFonts w:ascii="Arial" w:eastAsiaTheme="minorEastAsia" w:hAnsi="Arial" w:cs="Arial"/>
                <w:sz w:val="20"/>
              </w:rPr>
            </w:pPr>
            <w:proofErr w:type="gramStart"/>
            <w:r w:rsidRPr="0036083D">
              <w:rPr>
                <w:rFonts w:ascii="Arial" w:eastAsiaTheme="minorEastAsia" w:hAnsi="Arial" w:cs="Arial"/>
                <w:sz w:val="20"/>
              </w:rPr>
              <w:t xml:space="preserve">Source:  Program report from </w:t>
            </w:r>
            <w:proofErr w:type="spellStart"/>
            <w:r w:rsidRPr="0036083D">
              <w:rPr>
                <w:rFonts w:ascii="Arial" w:eastAsiaTheme="minorEastAsia" w:hAnsi="Arial" w:cs="Arial"/>
                <w:sz w:val="20"/>
              </w:rPr>
              <w:t>Bancóldex</w:t>
            </w:r>
            <w:proofErr w:type="spellEnd"/>
            <w:r w:rsidRPr="0036083D">
              <w:rPr>
                <w:rFonts w:ascii="Arial" w:eastAsiaTheme="minorEastAsia" w:hAnsi="Arial" w:cs="Arial"/>
                <w:sz w:val="20"/>
              </w:rPr>
              <w:t xml:space="preserve"> and surveys to selected non-beneficiaries.</w:t>
            </w:r>
            <w:proofErr w:type="gramEnd"/>
          </w:p>
        </w:tc>
      </w:tr>
    </w:tbl>
    <w:p w14:paraId="0694C341" w14:textId="77777777" w:rsidR="0037093F" w:rsidRPr="0036083D" w:rsidRDefault="0037093F" w:rsidP="0036083D">
      <w:pPr>
        <w:pStyle w:val="AutoNumpara"/>
        <w:numPr>
          <w:ilvl w:val="0"/>
          <w:numId w:val="0"/>
        </w:numPr>
        <w:spacing w:after="120" w:line="276" w:lineRule="auto"/>
        <w:ind w:left="720"/>
        <w:jc w:val="both"/>
        <w:rPr>
          <w:rFonts w:ascii="Arial" w:hAnsi="Arial" w:cs="Arial"/>
          <w:sz w:val="22"/>
          <w:szCs w:val="22"/>
        </w:rPr>
      </w:pPr>
    </w:p>
    <w:p w14:paraId="52CA14BF" w14:textId="4C6A169F" w:rsidR="007F653C" w:rsidRDefault="007F653C" w:rsidP="0036083D">
      <w:pPr>
        <w:pStyle w:val="AutoNumpara"/>
        <w:spacing w:line="276" w:lineRule="auto"/>
        <w:jc w:val="both"/>
        <w:rPr>
          <w:rFonts w:ascii="Arial" w:hAnsi="Arial" w:cs="Arial"/>
          <w:sz w:val="22"/>
          <w:szCs w:val="22"/>
        </w:rPr>
      </w:pPr>
      <w:r w:rsidRPr="0036083D">
        <w:rPr>
          <w:rFonts w:ascii="Arial" w:hAnsi="Arial" w:cs="Arial"/>
          <w:sz w:val="22"/>
          <w:szCs w:val="22"/>
        </w:rPr>
        <w:t xml:space="preserve">It should be noted that projects funded by the program </w:t>
      </w:r>
      <w:proofErr w:type="gramStart"/>
      <w:r w:rsidRPr="0036083D">
        <w:rPr>
          <w:rFonts w:ascii="Arial" w:hAnsi="Arial" w:cs="Arial"/>
          <w:sz w:val="22"/>
          <w:szCs w:val="22"/>
        </w:rPr>
        <w:t>may</w:t>
      </w:r>
      <w:proofErr w:type="gramEnd"/>
      <w:r w:rsidRPr="0036083D">
        <w:rPr>
          <w:rFonts w:ascii="Arial" w:hAnsi="Arial" w:cs="Arial"/>
          <w:sz w:val="22"/>
          <w:szCs w:val="22"/>
        </w:rPr>
        <w:t xml:space="preserve"> have environmental and social impacts that require an effective evaluation system for proper mitigation and management. To mitigate these risks, the IDB will </w:t>
      </w:r>
      <w:r w:rsidR="00D4190B" w:rsidRPr="0036083D">
        <w:rPr>
          <w:rFonts w:ascii="Arial" w:hAnsi="Arial" w:cs="Arial"/>
          <w:sz w:val="22"/>
          <w:szCs w:val="22"/>
        </w:rPr>
        <w:t xml:space="preserve">support </w:t>
      </w:r>
      <w:proofErr w:type="spellStart"/>
      <w:r w:rsidR="00D4190B" w:rsidRPr="0036083D">
        <w:rPr>
          <w:rFonts w:ascii="Arial" w:hAnsi="Arial" w:cs="Arial"/>
          <w:sz w:val="22"/>
          <w:szCs w:val="22"/>
        </w:rPr>
        <w:t>Bancóldex</w:t>
      </w:r>
      <w:proofErr w:type="spellEnd"/>
      <w:r w:rsidR="00D4190B" w:rsidRPr="0036083D">
        <w:rPr>
          <w:rFonts w:ascii="Arial" w:hAnsi="Arial" w:cs="Arial"/>
          <w:sz w:val="22"/>
          <w:szCs w:val="22"/>
        </w:rPr>
        <w:t xml:space="preserve"> to adapt</w:t>
      </w:r>
      <w:r w:rsidRPr="0036083D">
        <w:rPr>
          <w:rFonts w:ascii="Arial" w:hAnsi="Arial" w:cs="Arial"/>
          <w:sz w:val="22"/>
          <w:szCs w:val="22"/>
        </w:rPr>
        <w:t xml:space="preserve"> </w:t>
      </w:r>
      <w:r w:rsidR="00D4190B" w:rsidRPr="0036083D">
        <w:rPr>
          <w:rFonts w:ascii="Arial" w:hAnsi="Arial" w:cs="Arial"/>
          <w:sz w:val="22"/>
          <w:szCs w:val="22"/>
        </w:rPr>
        <w:t>its</w:t>
      </w:r>
      <w:r w:rsidRPr="0036083D">
        <w:rPr>
          <w:rFonts w:ascii="Arial" w:hAnsi="Arial" w:cs="Arial"/>
          <w:sz w:val="22"/>
          <w:szCs w:val="22"/>
        </w:rPr>
        <w:t xml:space="preserve"> Environmental and Social Management System (ESMS</w:t>
      </w:r>
      <w:r w:rsidR="00140CFC" w:rsidRPr="0036083D">
        <w:rPr>
          <w:rFonts w:ascii="Arial" w:hAnsi="Arial" w:cs="Arial"/>
          <w:sz w:val="22"/>
          <w:szCs w:val="22"/>
        </w:rPr>
        <w:t>)</w:t>
      </w:r>
      <w:r w:rsidR="00D4190B" w:rsidRPr="0036083D">
        <w:rPr>
          <w:rFonts w:ascii="Arial" w:hAnsi="Arial" w:cs="Arial"/>
          <w:sz w:val="22"/>
          <w:szCs w:val="22"/>
        </w:rPr>
        <w:t xml:space="preserve"> for renewable energy project lending</w:t>
      </w:r>
      <w:r w:rsidR="00140CFC" w:rsidRPr="0036083D">
        <w:rPr>
          <w:rFonts w:ascii="Arial" w:hAnsi="Arial" w:cs="Arial"/>
          <w:sz w:val="22"/>
          <w:szCs w:val="22"/>
        </w:rPr>
        <w:t>, which</w:t>
      </w:r>
      <w:r w:rsidRPr="0036083D">
        <w:rPr>
          <w:rFonts w:ascii="Arial" w:hAnsi="Arial" w:cs="Arial"/>
          <w:sz w:val="22"/>
          <w:szCs w:val="22"/>
        </w:rPr>
        <w:t xml:space="preserve"> will enable the identification of potential impacts and risks and ensure that the beneficiaries of the financing will implement environmental and social assessment, prevention, mitigation and management measures consistent with IDB safeguard policies. </w:t>
      </w:r>
      <w:proofErr w:type="spellStart"/>
      <w:r w:rsidRPr="0036083D">
        <w:rPr>
          <w:rFonts w:ascii="Arial" w:hAnsi="Arial" w:cs="Arial"/>
          <w:sz w:val="22"/>
          <w:szCs w:val="22"/>
        </w:rPr>
        <w:t>Bancóldex</w:t>
      </w:r>
      <w:proofErr w:type="spellEnd"/>
      <w:r w:rsidRPr="0036083D">
        <w:rPr>
          <w:rFonts w:ascii="Arial" w:hAnsi="Arial" w:cs="Arial"/>
          <w:sz w:val="22"/>
          <w:szCs w:val="22"/>
        </w:rPr>
        <w:t xml:space="preserve"> shows a strong institutional capacity in the management of environmental and social risks, with a full-fledged Environmental and Social Management System designed and implemented with the technical assistance of the IDB. </w:t>
      </w:r>
      <w:proofErr w:type="spellStart"/>
      <w:r w:rsidRPr="0036083D">
        <w:rPr>
          <w:rFonts w:ascii="Arial" w:hAnsi="Arial" w:cs="Arial"/>
          <w:sz w:val="22"/>
          <w:szCs w:val="22"/>
        </w:rPr>
        <w:t>Bancóldex</w:t>
      </w:r>
      <w:proofErr w:type="spellEnd"/>
      <w:r w:rsidRPr="0036083D">
        <w:rPr>
          <w:rFonts w:ascii="Arial" w:hAnsi="Arial" w:cs="Arial"/>
          <w:sz w:val="22"/>
          <w:szCs w:val="22"/>
        </w:rPr>
        <w:t xml:space="preserve"> is among the most advanced financial institutions in the Region in the management of Environmental and Social risks for Tier 2 banking activities.</w:t>
      </w:r>
    </w:p>
    <w:p w14:paraId="48F056E9" w14:textId="77777777" w:rsidR="00C31215" w:rsidRDefault="00C31215" w:rsidP="00C31215">
      <w:pPr>
        <w:pStyle w:val="AutoNumpara"/>
        <w:numPr>
          <w:ilvl w:val="0"/>
          <w:numId w:val="0"/>
        </w:numPr>
        <w:spacing w:line="276" w:lineRule="auto"/>
        <w:ind w:left="720"/>
        <w:jc w:val="both"/>
        <w:rPr>
          <w:rFonts w:ascii="Arial" w:hAnsi="Arial" w:cs="Arial"/>
          <w:sz w:val="22"/>
          <w:szCs w:val="22"/>
        </w:rPr>
      </w:pPr>
    </w:p>
    <w:p w14:paraId="4742F239" w14:textId="77777777" w:rsidR="00C31215" w:rsidRPr="0036083D" w:rsidRDefault="00C31215" w:rsidP="00C31215">
      <w:pPr>
        <w:pStyle w:val="AutoNumpara"/>
        <w:numPr>
          <w:ilvl w:val="0"/>
          <w:numId w:val="0"/>
        </w:numPr>
        <w:spacing w:line="276" w:lineRule="auto"/>
        <w:ind w:left="720"/>
        <w:jc w:val="both"/>
        <w:rPr>
          <w:rFonts w:ascii="Arial" w:hAnsi="Arial" w:cs="Arial"/>
          <w:sz w:val="22"/>
          <w:szCs w:val="22"/>
        </w:rPr>
      </w:pPr>
    </w:p>
    <w:p w14:paraId="7CE1B57A" w14:textId="77777777" w:rsidR="008520C7" w:rsidRPr="0036083D" w:rsidRDefault="008520C7" w:rsidP="0036083D">
      <w:pPr>
        <w:pStyle w:val="AutoNumpara"/>
        <w:numPr>
          <w:ilvl w:val="0"/>
          <w:numId w:val="0"/>
        </w:numPr>
        <w:spacing w:after="120" w:line="276" w:lineRule="auto"/>
        <w:ind w:left="720"/>
        <w:jc w:val="both"/>
        <w:rPr>
          <w:rFonts w:ascii="Arial" w:hAnsi="Arial" w:cs="Arial"/>
          <w:sz w:val="22"/>
          <w:szCs w:val="22"/>
        </w:rPr>
      </w:pPr>
    </w:p>
    <w:p w14:paraId="437963C0" w14:textId="77777777" w:rsidR="0037093F" w:rsidRPr="0036083D" w:rsidRDefault="0037093F" w:rsidP="0036083D">
      <w:pPr>
        <w:pStyle w:val="ListParagraph"/>
        <w:numPr>
          <w:ilvl w:val="0"/>
          <w:numId w:val="20"/>
        </w:numPr>
        <w:spacing w:after="120" w:line="276" w:lineRule="auto"/>
        <w:jc w:val="both"/>
        <w:rPr>
          <w:rFonts w:ascii="Arial" w:hAnsi="Arial" w:cs="Arial"/>
          <w:b/>
          <w:sz w:val="22"/>
          <w:szCs w:val="22"/>
        </w:rPr>
      </w:pPr>
      <w:r w:rsidRPr="0036083D">
        <w:rPr>
          <w:rFonts w:ascii="Arial" w:hAnsi="Arial" w:cs="Arial"/>
          <w:b/>
          <w:sz w:val="22"/>
          <w:szCs w:val="22"/>
        </w:rPr>
        <w:lastRenderedPageBreak/>
        <w:t>Data Collection and Instruments</w:t>
      </w:r>
    </w:p>
    <w:p w14:paraId="5A7E9A2D" w14:textId="0C9C3E35" w:rsidR="00794CB6" w:rsidRPr="0036083D" w:rsidRDefault="00140CFC" w:rsidP="0036083D">
      <w:pPr>
        <w:pStyle w:val="AutoNumpara"/>
        <w:spacing w:after="120" w:line="276" w:lineRule="auto"/>
        <w:jc w:val="both"/>
        <w:rPr>
          <w:rFonts w:ascii="Arial" w:hAnsi="Arial" w:cs="Arial"/>
          <w:sz w:val="22"/>
          <w:szCs w:val="22"/>
        </w:rPr>
      </w:pPr>
      <w:proofErr w:type="spellStart"/>
      <w:r w:rsidRPr="0036083D">
        <w:rPr>
          <w:rFonts w:ascii="Arial" w:hAnsi="Arial" w:cs="Arial"/>
          <w:sz w:val="22"/>
          <w:szCs w:val="22"/>
        </w:rPr>
        <w:t>Bancóldex</w:t>
      </w:r>
      <w:proofErr w:type="spellEnd"/>
      <w:r w:rsidR="00794CB6" w:rsidRPr="0036083D">
        <w:rPr>
          <w:rFonts w:ascii="Arial" w:hAnsi="Arial" w:cs="Arial"/>
          <w:sz w:val="22"/>
          <w:szCs w:val="22"/>
        </w:rPr>
        <w:t xml:space="preserve"> will collect the necessary data for monitoring and present annual reports to the IDB. In some cases, the IDB will make calculations required for some indicators, based on the information provided by </w:t>
      </w:r>
      <w:proofErr w:type="spellStart"/>
      <w:r w:rsidRPr="0036083D">
        <w:rPr>
          <w:rFonts w:ascii="Arial" w:hAnsi="Arial" w:cs="Arial"/>
          <w:sz w:val="22"/>
          <w:szCs w:val="22"/>
        </w:rPr>
        <w:t>Bancóldex</w:t>
      </w:r>
      <w:proofErr w:type="spellEnd"/>
      <w:r w:rsidR="00794CB6" w:rsidRPr="0036083D">
        <w:rPr>
          <w:rFonts w:ascii="Arial" w:hAnsi="Arial" w:cs="Arial"/>
          <w:sz w:val="22"/>
          <w:szCs w:val="22"/>
        </w:rPr>
        <w:t xml:space="preserve"> in the annual reports. The IDB must report annually to the Clean Technology Fund Trust Fund Committee (CTF TFC) on results. Table 2.1 presents the main indicators to be monitored during the execution period of the operation, the methodology to be used, source of information, and responsible of data gathering.</w:t>
      </w:r>
    </w:p>
    <w:p w14:paraId="3E3DC1FF" w14:textId="48E3CB8A" w:rsidR="00794CB6" w:rsidRPr="0036083D" w:rsidRDefault="00794CB6" w:rsidP="0036083D">
      <w:pPr>
        <w:pStyle w:val="AutoNumpara"/>
        <w:spacing w:after="120" w:line="276" w:lineRule="auto"/>
        <w:jc w:val="both"/>
        <w:rPr>
          <w:rFonts w:ascii="Arial" w:hAnsi="Arial" w:cs="Arial"/>
          <w:sz w:val="22"/>
          <w:szCs w:val="22"/>
        </w:rPr>
      </w:pPr>
      <w:r w:rsidRPr="0036083D">
        <w:rPr>
          <w:rFonts w:ascii="Arial" w:hAnsi="Arial" w:cs="Arial"/>
          <w:sz w:val="22"/>
          <w:szCs w:val="22"/>
        </w:rPr>
        <w:t xml:space="preserve">From the Bank’s side, the project team composed </w:t>
      </w:r>
      <w:proofErr w:type="gramStart"/>
      <w:r w:rsidRPr="0036083D">
        <w:rPr>
          <w:rFonts w:ascii="Arial" w:hAnsi="Arial" w:cs="Arial"/>
          <w:sz w:val="22"/>
          <w:szCs w:val="22"/>
        </w:rPr>
        <w:t>by specialists from IFD/CMF, INE/CCS and INE/ENE, with support from the country office in Colombia,</w:t>
      </w:r>
      <w:proofErr w:type="gramEnd"/>
      <w:r w:rsidRPr="0036083D">
        <w:rPr>
          <w:rFonts w:ascii="Arial" w:hAnsi="Arial" w:cs="Arial"/>
          <w:sz w:val="22"/>
          <w:szCs w:val="22"/>
        </w:rPr>
        <w:t xml:space="preserve"> will be in charge of following up the execution, monitoring and evaluation of the program. The executing agency and the Bank have committed to carry out monitoring meetings according to a regular schedule to </w:t>
      </w:r>
      <w:proofErr w:type="gramStart"/>
      <w:r w:rsidRPr="0036083D">
        <w:rPr>
          <w:rFonts w:ascii="Arial" w:hAnsi="Arial" w:cs="Arial"/>
          <w:sz w:val="22"/>
          <w:szCs w:val="22"/>
        </w:rPr>
        <w:t>be agreed</w:t>
      </w:r>
      <w:proofErr w:type="gramEnd"/>
      <w:r w:rsidRPr="0036083D">
        <w:rPr>
          <w:rFonts w:ascii="Arial" w:hAnsi="Arial" w:cs="Arial"/>
          <w:sz w:val="22"/>
          <w:szCs w:val="22"/>
        </w:rPr>
        <w:t xml:space="preserve"> upon between the two parts (see Table 2.2 Monitoring Work Plan for an indicative schedule).</w:t>
      </w:r>
    </w:p>
    <w:p w14:paraId="6D580FB6" w14:textId="77777777" w:rsidR="00794CB6" w:rsidRPr="0036083D" w:rsidRDefault="00794CB6" w:rsidP="0036083D">
      <w:pPr>
        <w:pStyle w:val="AutoNumpara"/>
        <w:numPr>
          <w:ilvl w:val="0"/>
          <w:numId w:val="0"/>
        </w:numPr>
        <w:spacing w:after="120" w:line="276" w:lineRule="auto"/>
        <w:ind w:left="720"/>
        <w:jc w:val="both"/>
        <w:rPr>
          <w:rFonts w:ascii="Arial" w:hAnsi="Arial" w:cs="Arial"/>
          <w:sz w:val="22"/>
          <w:szCs w:val="22"/>
        </w:rPr>
      </w:pPr>
    </w:p>
    <w:p w14:paraId="22F49AF0" w14:textId="77777777" w:rsidR="0037093F" w:rsidRPr="0036083D" w:rsidRDefault="0037093F" w:rsidP="0036083D">
      <w:pPr>
        <w:pStyle w:val="ListParagraph"/>
        <w:numPr>
          <w:ilvl w:val="0"/>
          <w:numId w:val="20"/>
        </w:numPr>
        <w:spacing w:after="120" w:line="276" w:lineRule="auto"/>
        <w:jc w:val="both"/>
        <w:rPr>
          <w:rFonts w:ascii="Arial" w:hAnsi="Arial" w:cs="Arial"/>
          <w:b/>
          <w:sz w:val="22"/>
          <w:szCs w:val="22"/>
        </w:rPr>
      </w:pPr>
      <w:r w:rsidRPr="0036083D">
        <w:rPr>
          <w:rFonts w:ascii="Arial" w:hAnsi="Arial" w:cs="Arial"/>
          <w:b/>
          <w:sz w:val="22"/>
          <w:szCs w:val="22"/>
        </w:rPr>
        <w:t>Reporting Monitoring Results</w:t>
      </w:r>
    </w:p>
    <w:p w14:paraId="79E95ADF" w14:textId="1B130506" w:rsidR="00AD03CE" w:rsidRPr="0036083D" w:rsidRDefault="00140CFC" w:rsidP="0036083D">
      <w:pPr>
        <w:pStyle w:val="AutoNumpara"/>
        <w:spacing w:after="120" w:line="276" w:lineRule="auto"/>
        <w:jc w:val="both"/>
        <w:rPr>
          <w:rFonts w:ascii="Arial" w:hAnsi="Arial" w:cs="Arial"/>
          <w:sz w:val="22"/>
          <w:szCs w:val="22"/>
        </w:rPr>
      </w:pPr>
      <w:proofErr w:type="spellStart"/>
      <w:r w:rsidRPr="0036083D">
        <w:rPr>
          <w:rFonts w:ascii="Arial" w:hAnsi="Arial" w:cs="Arial"/>
          <w:sz w:val="22"/>
          <w:szCs w:val="22"/>
        </w:rPr>
        <w:t>Bancóldex</w:t>
      </w:r>
      <w:proofErr w:type="spellEnd"/>
      <w:r w:rsidR="00AD03CE" w:rsidRPr="0036083D">
        <w:rPr>
          <w:rFonts w:ascii="Arial" w:hAnsi="Arial" w:cs="Arial"/>
          <w:sz w:val="22"/>
          <w:szCs w:val="22"/>
        </w:rPr>
        <w:t xml:space="preserve"> will report to IDB through annual reports including the defined indicators and any other relevant information on the performance of the program. Based on the information provided by these reports, the executing agency and the IDB could introduce adjustments to the program. </w:t>
      </w:r>
      <w:proofErr w:type="spellStart"/>
      <w:r w:rsidRPr="0036083D">
        <w:rPr>
          <w:rFonts w:ascii="Arial" w:hAnsi="Arial" w:cs="Arial"/>
          <w:sz w:val="22"/>
          <w:szCs w:val="22"/>
        </w:rPr>
        <w:t>Bancóldex</w:t>
      </w:r>
      <w:proofErr w:type="spellEnd"/>
      <w:r w:rsidR="00AD03CE" w:rsidRPr="0036083D">
        <w:rPr>
          <w:rFonts w:ascii="Arial" w:hAnsi="Arial" w:cs="Arial"/>
          <w:sz w:val="22"/>
          <w:szCs w:val="22"/>
        </w:rPr>
        <w:t xml:space="preserve"> will deliver the reports within 60 calendar days after the end of each year of the program’s implementation. The reports will include information regarding the evolution of the indicators, as well as financial information regarding the use of the resources and the state of the program’s account. The Bank will be entitled to request additional information, if necessary.</w:t>
      </w:r>
    </w:p>
    <w:p w14:paraId="7E7E59C2" w14:textId="77777777" w:rsidR="00AD03CE" w:rsidRPr="0036083D" w:rsidRDefault="00AD03CE" w:rsidP="0036083D">
      <w:pPr>
        <w:pStyle w:val="AutoNumpara"/>
        <w:numPr>
          <w:ilvl w:val="0"/>
          <w:numId w:val="0"/>
        </w:numPr>
        <w:spacing w:after="120" w:line="276" w:lineRule="auto"/>
        <w:ind w:left="720"/>
        <w:jc w:val="both"/>
        <w:rPr>
          <w:rFonts w:ascii="Arial" w:hAnsi="Arial" w:cs="Arial"/>
          <w:sz w:val="22"/>
          <w:szCs w:val="22"/>
        </w:rPr>
      </w:pPr>
    </w:p>
    <w:p w14:paraId="1CE8A907" w14:textId="419BEF02" w:rsidR="0037093F" w:rsidRPr="0036083D" w:rsidRDefault="0037093F" w:rsidP="0036083D">
      <w:pPr>
        <w:pStyle w:val="ListParagraph"/>
        <w:numPr>
          <w:ilvl w:val="0"/>
          <w:numId w:val="20"/>
        </w:numPr>
        <w:spacing w:after="120" w:line="276" w:lineRule="auto"/>
        <w:jc w:val="both"/>
        <w:rPr>
          <w:rFonts w:ascii="Arial" w:hAnsi="Arial" w:cs="Arial"/>
          <w:b/>
          <w:sz w:val="22"/>
          <w:szCs w:val="22"/>
        </w:rPr>
      </w:pPr>
      <w:r w:rsidRPr="0036083D">
        <w:rPr>
          <w:rFonts w:ascii="Arial" w:hAnsi="Arial" w:cs="Arial"/>
          <w:b/>
          <w:sz w:val="22"/>
          <w:szCs w:val="22"/>
        </w:rPr>
        <w:t>Monitoring Coordination, Work Plan and Budget</w:t>
      </w:r>
    </w:p>
    <w:p w14:paraId="60869EA2" w14:textId="574D5025" w:rsidR="00AD03CE" w:rsidRPr="0036083D" w:rsidRDefault="00140CFC" w:rsidP="0036083D">
      <w:pPr>
        <w:pStyle w:val="AutoNumpara"/>
        <w:spacing w:after="120" w:line="276" w:lineRule="auto"/>
        <w:jc w:val="both"/>
        <w:rPr>
          <w:rFonts w:ascii="Arial" w:hAnsi="Arial" w:cs="Arial"/>
          <w:sz w:val="22"/>
          <w:szCs w:val="22"/>
        </w:rPr>
      </w:pPr>
      <w:proofErr w:type="spellStart"/>
      <w:r w:rsidRPr="0036083D">
        <w:rPr>
          <w:rFonts w:ascii="Arial" w:hAnsi="Arial" w:cs="Arial"/>
          <w:sz w:val="22"/>
          <w:szCs w:val="22"/>
        </w:rPr>
        <w:t>Bancóldex</w:t>
      </w:r>
      <w:proofErr w:type="spellEnd"/>
      <w:r w:rsidR="00AD03CE" w:rsidRPr="0036083D">
        <w:rPr>
          <w:rFonts w:ascii="Arial" w:hAnsi="Arial" w:cs="Arial"/>
          <w:sz w:val="22"/>
          <w:szCs w:val="22"/>
        </w:rPr>
        <w:t xml:space="preserve"> will be responsible for the supervision, technical and administrative coordination of the program. </w:t>
      </w:r>
      <w:proofErr w:type="spellStart"/>
      <w:r w:rsidRPr="0036083D">
        <w:rPr>
          <w:rFonts w:ascii="Arial" w:hAnsi="Arial" w:cs="Arial"/>
          <w:sz w:val="22"/>
          <w:szCs w:val="22"/>
        </w:rPr>
        <w:t>Bancóldex</w:t>
      </w:r>
      <w:proofErr w:type="spellEnd"/>
      <w:r w:rsidR="00AD03CE" w:rsidRPr="0036083D">
        <w:rPr>
          <w:rFonts w:ascii="Arial" w:hAnsi="Arial" w:cs="Arial"/>
          <w:sz w:val="22"/>
          <w:szCs w:val="22"/>
        </w:rPr>
        <w:t xml:space="preserve"> will be responsible for the execution of the activities envisioned under the program, and performing the necessary reporting duties to the Bank.</w:t>
      </w:r>
    </w:p>
    <w:p w14:paraId="18D7DA98" w14:textId="2A477848" w:rsidR="00AD03CE" w:rsidRPr="0036083D" w:rsidRDefault="00206C93" w:rsidP="0036083D">
      <w:pPr>
        <w:pStyle w:val="AutoNumpara"/>
        <w:spacing w:after="120" w:line="276" w:lineRule="auto"/>
        <w:jc w:val="both"/>
        <w:rPr>
          <w:rFonts w:ascii="Arial" w:hAnsi="Arial" w:cs="Arial"/>
          <w:sz w:val="22"/>
          <w:szCs w:val="22"/>
        </w:rPr>
      </w:pPr>
      <w:r w:rsidRPr="0036083D">
        <w:rPr>
          <w:rFonts w:ascii="Arial" w:hAnsi="Arial" w:cs="Arial"/>
          <w:sz w:val="22"/>
          <w:szCs w:val="22"/>
        </w:rPr>
        <w:t xml:space="preserve">CTF resources are to be fully committed and </w:t>
      </w:r>
      <w:proofErr w:type="gramStart"/>
      <w:r w:rsidRPr="0036083D">
        <w:rPr>
          <w:rFonts w:ascii="Arial" w:hAnsi="Arial" w:cs="Arial"/>
          <w:sz w:val="22"/>
          <w:szCs w:val="22"/>
        </w:rPr>
        <w:t>disbursed</w:t>
      </w:r>
      <w:proofErr w:type="gramEnd"/>
      <w:r w:rsidRPr="0036083D">
        <w:rPr>
          <w:rFonts w:ascii="Arial" w:hAnsi="Arial" w:cs="Arial"/>
          <w:sz w:val="22"/>
          <w:szCs w:val="22"/>
        </w:rPr>
        <w:t xml:space="preserve"> within </w:t>
      </w:r>
      <w:r w:rsidR="00C75CFA" w:rsidRPr="0036083D">
        <w:rPr>
          <w:rFonts w:ascii="Arial" w:hAnsi="Arial" w:cs="Arial"/>
          <w:sz w:val="22"/>
          <w:szCs w:val="22"/>
        </w:rPr>
        <w:t xml:space="preserve">four </w:t>
      </w:r>
      <w:r w:rsidRPr="0036083D">
        <w:rPr>
          <w:rFonts w:ascii="Arial" w:hAnsi="Arial" w:cs="Arial"/>
          <w:sz w:val="22"/>
          <w:szCs w:val="22"/>
        </w:rPr>
        <w:t>years from the effective date of the loan agreement.</w:t>
      </w:r>
    </w:p>
    <w:p w14:paraId="26180FDB" w14:textId="7023F4AA" w:rsidR="00206C93" w:rsidRPr="0036083D" w:rsidRDefault="00206C93" w:rsidP="0036083D">
      <w:pPr>
        <w:pStyle w:val="AutoNumpara"/>
        <w:spacing w:after="120" w:line="276" w:lineRule="auto"/>
        <w:jc w:val="both"/>
        <w:rPr>
          <w:rFonts w:ascii="Arial" w:hAnsi="Arial" w:cs="Arial"/>
          <w:sz w:val="22"/>
          <w:szCs w:val="22"/>
        </w:rPr>
      </w:pPr>
      <w:r w:rsidRPr="0036083D">
        <w:rPr>
          <w:rFonts w:ascii="Arial" w:hAnsi="Arial" w:cs="Arial"/>
          <w:sz w:val="22"/>
          <w:szCs w:val="22"/>
        </w:rPr>
        <w:t xml:space="preserve">The cost and planned schedules for the activities </w:t>
      </w:r>
      <w:proofErr w:type="gramStart"/>
      <w:r w:rsidRPr="0036083D">
        <w:rPr>
          <w:rFonts w:ascii="Arial" w:hAnsi="Arial" w:cs="Arial"/>
          <w:sz w:val="22"/>
          <w:szCs w:val="22"/>
        </w:rPr>
        <w:t>are shown</w:t>
      </w:r>
      <w:proofErr w:type="gramEnd"/>
      <w:r w:rsidRPr="0036083D">
        <w:rPr>
          <w:rFonts w:ascii="Arial" w:hAnsi="Arial" w:cs="Arial"/>
          <w:sz w:val="22"/>
          <w:szCs w:val="22"/>
        </w:rPr>
        <w:t xml:space="preserve"> in Table 2.2. Resources to cover these costs will come from the supervision budget included in the CTF funding plus any standard administrative costs associated to IDB and </w:t>
      </w:r>
      <w:proofErr w:type="spellStart"/>
      <w:r w:rsidR="00140CFC" w:rsidRPr="0036083D">
        <w:rPr>
          <w:rFonts w:ascii="Arial" w:hAnsi="Arial" w:cs="Arial"/>
          <w:sz w:val="22"/>
          <w:szCs w:val="22"/>
        </w:rPr>
        <w:t>Bancóldex</w:t>
      </w:r>
      <w:proofErr w:type="spellEnd"/>
      <w:r w:rsidRPr="0036083D">
        <w:rPr>
          <w:rFonts w:ascii="Arial" w:hAnsi="Arial" w:cs="Arial"/>
          <w:sz w:val="22"/>
          <w:szCs w:val="22"/>
        </w:rPr>
        <w:t xml:space="preserve"> staff involved in the project. </w:t>
      </w:r>
      <w:r w:rsidR="00C75CFA" w:rsidRPr="0036083D">
        <w:rPr>
          <w:rFonts w:ascii="Arial" w:hAnsi="Arial" w:cs="Arial"/>
          <w:sz w:val="22"/>
          <w:szCs w:val="22"/>
        </w:rPr>
        <w:t xml:space="preserve">The TC that forms part of the program will finance the monitoring system and monitoring activities of </w:t>
      </w:r>
      <w:proofErr w:type="spellStart"/>
      <w:r w:rsidR="00C75CFA" w:rsidRPr="0036083D">
        <w:rPr>
          <w:rFonts w:ascii="Arial" w:hAnsi="Arial" w:cs="Arial"/>
          <w:sz w:val="22"/>
          <w:szCs w:val="22"/>
        </w:rPr>
        <w:t>Bancóldex</w:t>
      </w:r>
      <w:proofErr w:type="spellEnd"/>
      <w:r w:rsidR="00C75CFA" w:rsidRPr="0036083D">
        <w:rPr>
          <w:rFonts w:ascii="Arial" w:hAnsi="Arial" w:cs="Arial"/>
          <w:sz w:val="22"/>
          <w:szCs w:val="22"/>
        </w:rPr>
        <w:t xml:space="preserve">. </w:t>
      </w:r>
    </w:p>
    <w:p w14:paraId="4C1F2A98" w14:textId="77777777" w:rsidR="007C3B95" w:rsidRPr="0036083D" w:rsidRDefault="007C3B95" w:rsidP="0036083D">
      <w:pPr>
        <w:pStyle w:val="AutoNumpara"/>
        <w:numPr>
          <w:ilvl w:val="0"/>
          <w:numId w:val="0"/>
        </w:numPr>
        <w:spacing w:after="120" w:line="276" w:lineRule="auto"/>
        <w:ind w:left="720"/>
        <w:jc w:val="both"/>
        <w:rPr>
          <w:rFonts w:ascii="Arial" w:hAnsi="Arial" w:cs="Arial"/>
          <w:sz w:val="22"/>
          <w:szCs w:val="22"/>
        </w:rPr>
      </w:pPr>
    </w:p>
    <w:p w14:paraId="118056A6" w14:textId="063FFEAC" w:rsidR="007C3B95" w:rsidRPr="0036083D" w:rsidRDefault="007C3B95" w:rsidP="0036083D">
      <w:pPr>
        <w:pStyle w:val="AutoNumpara"/>
        <w:numPr>
          <w:ilvl w:val="0"/>
          <w:numId w:val="0"/>
        </w:numPr>
        <w:spacing w:after="120" w:line="276" w:lineRule="auto"/>
        <w:ind w:left="720"/>
        <w:jc w:val="center"/>
        <w:rPr>
          <w:rFonts w:ascii="Arial" w:hAnsi="Arial" w:cs="Arial"/>
          <w:b/>
          <w:sz w:val="22"/>
          <w:szCs w:val="22"/>
        </w:rPr>
      </w:pPr>
      <w:r w:rsidRPr="0036083D">
        <w:rPr>
          <w:rFonts w:ascii="Arial" w:hAnsi="Arial" w:cs="Arial"/>
          <w:b/>
          <w:sz w:val="22"/>
          <w:szCs w:val="22"/>
        </w:rPr>
        <w:lastRenderedPageBreak/>
        <w:t>Table 2.2 Monitoring Working Plan</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360"/>
        <w:gridCol w:w="360"/>
        <w:gridCol w:w="360"/>
        <w:gridCol w:w="360"/>
        <w:gridCol w:w="360"/>
        <w:gridCol w:w="360"/>
        <w:gridCol w:w="360"/>
        <w:gridCol w:w="360"/>
        <w:gridCol w:w="720"/>
        <w:gridCol w:w="450"/>
        <w:gridCol w:w="900"/>
      </w:tblGrid>
      <w:tr w:rsidR="00243F8A" w:rsidRPr="0036083D" w14:paraId="356D7648" w14:textId="77777777" w:rsidTr="00507D0F">
        <w:trPr>
          <w:trHeight w:val="377"/>
        </w:trPr>
        <w:tc>
          <w:tcPr>
            <w:tcW w:w="3708" w:type="dxa"/>
            <w:vMerge w:val="restart"/>
            <w:shd w:val="clear" w:color="auto" w:fill="D9D9D9" w:themeFill="background1" w:themeFillShade="D9"/>
            <w:vAlign w:val="center"/>
          </w:tcPr>
          <w:p w14:paraId="78579565" w14:textId="77777777" w:rsidR="00243F8A" w:rsidRPr="0036083D" w:rsidRDefault="00243F8A" w:rsidP="0036083D">
            <w:pPr>
              <w:spacing w:line="276" w:lineRule="auto"/>
              <w:jc w:val="center"/>
              <w:rPr>
                <w:rFonts w:ascii="Arial" w:hAnsi="Arial" w:cs="Arial"/>
                <w:b/>
                <w:sz w:val="16"/>
                <w:szCs w:val="16"/>
              </w:rPr>
            </w:pPr>
            <w:r w:rsidRPr="0036083D">
              <w:rPr>
                <w:rFonts w:ascii="Arial" w:hAnsi="Arial" w:cs="Arial"/>
                <w:b/>
                <w:sz w:val="16"/>
                <w:szCs w:val="16"/>
              </w:rPr>
              <w:t>Activities</w:t>
            </w:r>
          </w:p>
        </w:tc>
        <w:tc>
          <w:tcPr>
            <w:tcW w:w="720" w:type="dxa"/>
            <w:gridSpan w:val="2"/>
            <w:shd w:val="clear" w:color="auto" w:fill="D9D9D9" w:themeFill="background1" w:themeFillShade="D9"/>
            <w:vAlign w:val="center"/>
          </w:tcPr>
          <w:p w14:paraId="530B3116" w14:textId="77777777" w:rsidR="00243F8A" w:rsidRPr="0036083D" w:rsidRDefault="00243F8A" w:rsidP="0036083D">
            <w:pPr>
              <w:spacing w:line="276" w:lineRule="auto"/>
              <w:jc w:val="center"/>
              <w:rPr>
                <w:rFonts w:ascii="Arial" w:hAnsi="Arial" w:cs="Arial"/>
                <w:b/>
                <w:sz w:val="16"/>
                <w:szCs w:val="16"/>
              </w:rPr>
            </w:pPr>
            <w:r w:rsidRPr="0036083D">
              <w:rPr>
                <w:rFonts w:ascii="Arial" w:hAnsi="Arial" w:cs="Arial"/>
                <w:b/>
                <w:sz w:val="16"/>
                <w:szCs w:val="16"/>
              </w:rPr>
              <w:t xml:space="preserve">Year 1 </w:t>
            </w:r>
          </w:p>
        </w:tc>
        <w:tc>
          <w:tcPr>
            <w:tcW w:w="720" w:type="dxa"/>
            <w:gridSpan w:val="2"/>
            <w:shd w:val="clear" w:color="auto" w:fill="D9D9D9" w:themeFill="background1" w:themeFillShade="D9"/>
            <w:vAlign w:val="center"/>
          </w:tcPr>
          <w:p w14:paraId="6F6705DC" w14:textId="77777777" w:rsidR="00243F8A" w:rsidRPr="0036083D" w:rsidRDefault="00243F8A" w:rsidP="0036083D">
            <w:pPr>
              <w:spacing w:line="276" w:lineRule="auto"/>
              <w:jc w:val="center"/>
              <w:rPr>
                <w:rFonts w:ascii="Arial" w:hAnsi="Arial" w:cs="Arial"/>
                <w:b/>
                <w:sz w:val="16"/>
                <w:szCs w:val="16"/>
              </w:rPr>
            </w:pPr>
            <w:r w:rsidRPr="0036083D">
              <w:rPr>
                <w:rFonts w:ascii="Arial" w:hAnsi="Arial" w:cs="Arial"/>
                <w:b/>
                <w:sz w:val="16"/>
                <w:szCs w:val="16"/>
              </w:rPr>
              <w:t>Year 2</w:t>
            </w:r>
          </w:p>
        </w:tc>
        <w:tc>
          <w:tcPr>
            <w:tcW w:w="720" w:type="dxa"/>
            <w:gridSpan w:val="2"/>
            <w:shd w:val="clear" w:color="auto" w:fill="D9D9D9" w:themeFill="background1" w:themeFillShade="D9"/>
            <w:vAlign w:val="center"/>
          </w:tcPr>
          <w:p w14:paraId="5E58C633" w14:textId="77777777" w:rsidR="00243F8A" w:rsidRPr="0036083D" w:rsidRDefault="00243F8A" w:rsidP="0036083D">
            <w:pPr>
              <w:spacing w:line="276" w:lineRule="auto"/>
              <w:jc w:val="center"/>
              <w:rPr>
                <w:rFonts w:ascii="Arial" w:hAnsi="Arial" w:cs="Arial"/>
                <w:b/>
                <w:sz w:val="16"/>
                <w:szCs w:val="16"/>
              </w:rPr>
            </w:pPr>
            <w:r w:rsidRPr="0036083D">
              <w:rPr>
                <w:rFonts w:ascii="Arial" w:hAnsi="Arial" w:cs="Arial"/>
                <w:b/>
                <w:sz w:val="16"/>
                <w:szCs w:val="16"/>
              </w:rPr>
              <w:t>Year 3</w:t>
            </w:r>
          </w:p>
        </w:tc>
        <w:tc>
          <w:tcPr>
            <w:tcW w:w="720" w:type="dxa"/>
            <w:gridSpan w:val="2"/>
            <w:shd w:val="clear" w:color="auto" w:fill="D9D9D9" w:themeFill="background1" w:themeFillShade="D9"/>
            <w:vAlign w:val="center"/>
          </w:tcPr>
          <w:p w14:paraId="0EB88758" w14:textId="77777777" w:rsidR="00243F8A" w:rsidRPr="0036083D" w:rsidRDefault="00243F8A" w:rsidP="0036083D">
            <w:pPr>
              <w:spacing w:line="276" w:lineRule="auto"/>
              <w:jc w:val="center"/>
              <w:rPr>
                <w:rFonts w:ascii="Arial" w:hAnsi="Arial" w:cs="Arial"/>
                <w:b/>
                <w:sz w:val="16"/>
                <w:szCs w:val="16"/>
              </w:rPr>
            </w:pPr>
            <w:r w:rsidRPr="0036083D">
              <w:rPr>
                <w:rFonts w:ascii="Arial" w:hAnsi="Arial" w:cs="Arial"/>
                <w:b/>
                <w:sz w:val="16"/>
                <w:szCs w:val="16"/>
              </w:rPr>
              <w:t>Year 4</w:t>
            </w:r>
          </w:p>
        </w:tc>
        <w:tc>
          <w:tcPr>
            <w:tcW w:w="1170" w:type="dxa"/>
            <w:gridSpan w:val="2"/>
            <w:vMerge w:val="restart"/>
            <w:shd w:val="clear" w:color="auto" w:fill="D9D9D9" w:themeFill="background1" w:themeFillShade="D9"/>
            <w:vAlign w:val="center"/>
          </w:tcPr>
          <w:p w14:paraId="582CF543" w14:textId="77777777" w:rsidR="00243F8A" w:rsidRPr="0036083D" w:rsidRDefault="00243F8A" w:rsidP="0036083D">
            <w:pPr>
              <w:spacing w:line="276" w:lineRule="auto"/>
              <w:jc w:val="center"/>
              <w:rPr>
                <w:rFonts w:ascii="Arial" w:hAnsi="Arial" w:cs="Arial"/>
                <w:b/>
                <w:sz w:val="16"/>
                <w:szCs w:val="16"/>
              </w:rPr>
            </w:pPr>
            <w:r w:rsidRPr="0036083D">
              <w:rPr>
                <w:rFonts w:ascii="Arial" w:hAnsi="Arial" w:cs="Arial"/>
                <w:b/>
                <w:sz w:val="16"/>
                <w:szCs w:val="16"/>
              </w:rPr>
              <w:t>Responsible</w:t>
            </w:r>
          </w:p>
        </w:tc>
        <w:tc>
          <w:tcPr>
            <w:tcW w:w="900" w:type="dxa"/>
            <w:vMerge w:val="restart"/>
            <w:shd w:val="clear" w:color="auto" w:fill="D9D9D9" w:themeFill="background1" w:themeFillShade="D9"/>
          </w:tcPr>
          <w:p w14:paraId="4FC9F151" w14:textId="77777777" w:rsidR="00243F8A" w:rsidRPr="0036083D" w:rsidRDefault="00243F8A" w:rsidP="0036083D">
            <w:pPr>
              <w:spacing w:line="276" w:lineRule="auto"/>
              <w:jc w:val="center"/>
              <w:rPr>
                <w:rFonts w:ascii="Arial" w:hAnsi="Arial" w:cs="Arial"/>
                <w:b/>
                <w:sz w:val="16"/>
                <w:szCs w:val="16"/>
              </w:rPr>
            </w:pPr>
            <w:r w:rsidRPr="0036083D">
              <w:rPr>
                <w:rFonts w:ascii="Arial" w:hAnsi="Arial" w:cs="Arial"/>
                <w:b/>
                <w:sz w:val="16"/>
                <w:szCs w:val="16"/>
              </w:rPr>
              <w:t>Budget</w:t>
            </w:r>
          </w:p>
          <w:p w14:paraId="113B926F" w14:textId="77777777" w:rsidR="00243F8A" w:rsidRPr="0036083D" w:rsidRDefault="00243F8A" w:rsidP="0036083D">
            <w:pPr>
              <w:spacing w:line="276" w:lineRule="auto"/>
              <w:jc w:val="center"/>
              <w:rPr>
                <w:rFonts w:ascii="Arial" w:hAnsi="Arial" w:cs="Arial"/>
                <w:b/>
                <w:sz w:val="16"/>
                <w:szCs w:val="16"/>
              </w:rPr>
            </w:pPr>
            <w:r w:rsidRPr="0036083D">
              <w:rPr>
                <w:rFonts w:ascii="Arial" w:hAnsi="Arial" w:cs="Arial"/>
                <w:b/>
                <w:sz w:val="16"/>
                <w:szCs w:val="16"/>
              </w:rPr>
              <w:t>(USD)</w:t>
            </w:r>
          </w:p>
        </w:tc>
      </w:tr>
      <w:tr w:rsidR="00243F8A" w:rsidRPr="0036083D" w14:paraId="7CBE2421" w14:textId="77777777" w:rsidTr="00507D0F">
        <w:trPr>
          <w:trHeight w:val="260"/>
        </w:trPr>
        <w:tc>
          <w:tcPr>
            <w:tcW w:w="3708" w:type="dxa"/>
            <w:vMerge/>
            <w:shd w:val="clear" w:color="auto" w:fill="D9D9D9" w:themeFill="background1" w:themeFillShade="D9"/>
            <w:vAlign w:val="center"/>
          </w:tcPr>
          <w:p w14:paraId="435F6659" w14:textId="77777777" w:rsidR="00243F8A" w:rsidRPr="0036083D" w:rsidRDefault="00243F8A" w:rsidP="0036083D">
            <w:pPr>
              <w:spacing w:before="60" w:after="60" w:line="276" w:lineRule="auto"/>
              <w:jc w:val="center"/>
              <w:rPr>
                <w:rFonts w:ascii="Arial" w:hAnsi="Arial" w:cs="Arial"/>
                <w:b/>
                <w:sz w:val="18"/>
                <w:szCs w:val="18"/>
              </w:rPr>
            </w:pPr>
          </w:p>
        </w:tc>
        <w:tc>
          <w:tcPr>
            <w:tcW w:w="360" w:type="dxa"/>
            <w:shd w:val="clear" w:color="auto" w:fill="D9D9D9" w:themeFill="background1" w:themeFillShade="D9"/>
            <w:vAlign w:val="center"/>
          </w:tcPr>
          <w:p w14:paraId="3DE63508" w14:textId="77777777" w:rsidR="00243F8A" w:rsidRPr="0036083D" w:rsidRDefault="00243F8A" w:rsidP="0036083D">
            <w:pPr>
              <w:spacing w:line="276" w:lineRule="auto"/>
              <w:jc w:val="center"/>
              <w:rPr>
                <w:rFonts w:ascii="Arial" w:hAnsi="Arial" w:cs="Arial"/>
                <w:b/>
                <w:sz w:val="18"/>
                <w:szCs w:val="18"/>
              </w:rPr>
            </w:pPr>
            <w:r w:rsidRPr="0036083D">
              <w:rPr>
                <w:rFonts w:ascii="Arial" w:hAnsi="Arial" w:cs="Arial"/>
                <w:b/>
                <w:sz w:val="18"/>
                <w:szCs w:val="18"/>
              </w:rPr>
              <w:t>I</w:t>
            </w:r>
          </w:p>
        </w:tc>
        <w:tc>
          <w:tcPr>
            <w:tcW w:w="360" w:type="dxa"/>
            <w:shd w:val="clear" w:color="auto" w:fill="D9D9D9" w:themeFill="background1" w:themeFillShade="D9"/>
            <w:vAlign w:val="center"/>
          </w:tcPr>
          <w:p w14:paraId="438D3F6F" w14:textId="77777777" w:rsidR="00243F8A" w:rsidRPr="0036083D" w:rsidRDefault="00243F8A" w:rsidP="0036083D">
            <w:pPr>
              <w:spacing w:line="276" w:lineRule="auto"/>
              <w:jc w:val="center"/>
              <w:rPr>
                <w:rFonts w:ascii="Arial" w:hAnsi="Arial" w:cs="Arial"/>
                <w:b/>
                <w:sz w:val="18"/>
                <w:szCs w:val="18"/>
              </w:rPr>
            </w:pPr>
            <w:r w:rsidRPr="0036083D">
              <w:rPr>
                <w:rFonts w:ascii="Arial" w:hAnsi="Arial" w:cs="Arial"/>
                <w:b/>
                <w:sz w:val="18"/>
                <w:szCs w:val="18"/>
              </w:rPr>
              <w:t>II</w:t>
            </w:r>
          </w:p>
        </w:tc>
        <w:tc>
          <w:tcPr>
            <w:tcW w:w="360" w:type="dxa"/>
            <w:shd w:val="clear" w:color="auto" w:fill="D9D9D9" w:themeFill="background1" w:themeFillShade="D9"/>
            <w:vAlign w:val="center"/>
          </w:tcPr>
          <w:p w14:paraId="1CC762C3" w14:textId="77777777" w:rsidR="00243F8A" w:rsidRPr="0036083D" w:rsidRDefault="00243F8A" w:rsidP="0036083D">
            <w:pPr>
              <w:spacing w:line="276" w:lineRule="auto"/>
              <w:jc w:val="center"/>
              <w:rPr>
                <w:rFonts w:ascii="Arial" w:hAnsi="Arial" w:cs="Arial"/>
                <w:b/>
                <w:sz w:val="18"/>
                <w:szCs w:val="18"/>
              </w:rPr>
            </w:pPr>
            <w:r w:rsidRPr="0036083D">
              <w:rPr>
                <w:rFonts w:ascii="Arial" w:hAnsi="Arial" w:cs="Arial"/>
                <w:b/>
                <w:sz w:val="18"/>
                <w:szCs w:val="18"/>
              </w:rPr>
              <w:t>I</w:t>
            </w:r>
          </w:p>
        </w:tc>
        <w:tc>
          <w:tcPr>
            <w:tcW w:w="360" w:type="dxa"/>
            <w:shd w:val="clear" w:color="auto" w:fill="D9D9D9" w:themeFill="background1" w:themeFillShade="D9"/>
            <w:vAlign w:val="center"/>
          </w:tcPr>
          <w:p w14:paraId="282499B9" w14:textId="77777777" w:rsidR="00243F8A" w:rsidRPr="0036083D" w:rsidRDefault="00243F8A" w:rsidP="0036083D">
            <w:pPr>
              <w:spacing w:line="276" w:lineRule="auto"/>
              <w:jc w:val="center"/>
              <w:rPr>
                <w:rFonts w:ascii="Arial" w:hAnsi="Arial" w:cs="Arial"/>
                <w:b/>
                <w:sz w:val="18"/>
                <w:szCs w:val="18"/>
              </w:rPr>
            </w:pPr>
            <w:r w:rsidRPr="0036083D">
              <w:rPr>
                <w:rFonts w:ascii="Arial" w:hAnsi="Arial" w:cs="Arial"/>
                <w:b/>
                <w:sz w:val="18"/>
                <w:szCs w:val="18"/>
              </w:rPr>
              <w:t>II</w:t>
            </w:r>
          </w:p>
        </w:tc>
        <w:tc>
          <w:tcPr>
            <w:tcW w:w="360" w:type="dxa"/>
            <w:shd w:val="clear" w:color="auto" w:fill="D9D9D9" w:themeFill="background1" w:themeFillShade="D9"/>
            <w:vAlign w:val="center"/>
          </w:tcPr>
          <w:p w14:paraId="1F2A219B" w14:textId="77777777" w:rsidR="00243F8A" w:rsidRPr="0036083D" w:rsidRDefault="00243F8A" w:rsidP="0036083D">
            <w:pPr>
              <w:spacing w:line="276" w:lineRule="auto"/>
              <w:jc w:val="center"/>
              <w:rPr>
                <w:rFonts w:ascii="Arial" w:hAnsi="Arial" w:cs="Arial"/>
                <w:b/>
                <w:sz w:val="18"/>
                <w:szCs w:val="18"/>
              </w:rPr>
            </w:pPr>
            <w:r w:rsidRPr="0036083D">
              <w:rPr>
                <w:rFonts w:ascii="Arial" w:hAnsi="Arial" w:cs="Arial"/>
                <w:b/>
                <w:sz w:val="18"/>
                <w:szCs w:val="18"/>
              </w:rPr>
              <w:t>I</w:t>
            </w:r>
          </w:p>
        </w:tc>
        <w:tc>
          <w:tcPr>
            <w:tcW w:w="360" w:type="dxa"/>
            <w:shd w:val="clear" w:color="auto" w:fill="D9D9D9" w:themeFill="background1" w:themeFillShade="D9"/>
            <w:vAlign w:val="center"/>
          </w:tcPr>
          <w:p w14:paraId="2E57F128" w14:textId="77777777" w:rsidR="00243F8A" w:rsidRPr="0036083D" w:rsidRDefault="00243F8A" w:rsidP="0036083D">
            <w:pPr>
              <w:spacing w:line="276" w:lineRule="auto"/>
              <w:jc w:val="center"/>
              <w:rPr>
                <w:rFonts w:ascii="Arial" w:hAnsi="Arial" w:cs="Arial"/>
                <w:b/>
                <w:sz w:val="18"/>
                <w:szCs w:val="18"/>
              </w:rPr>
            </w:pPr>
            <w:r w:rsidRPr="0036083D">
              <w:rPr>
                <w:rFonts w:ascii="Arial" w:hAnsi="Arial" w:cs="Arial"/>
                <w:b/>
                <w:sz w:val="18"/>
                <w:szCs w:val="18"/>
              </w:rPr>
              <w:t>II</w:t>
            </w:r>
          </w:p>
        </w:tc>
        <w:tc>
          <w:tcPr>
            <w:tcW w:w="360" w:type="dxa"/>
            <w:shd w:val="clear" w:color="auto" w:fill="D9D9D9" w:themeFill="background1" w:themeFillShade="D9"/>
            <w:vAlign w:val="center"/>
          </w:tcPr>
          <w:p w14:paraId="7ECB47B2" w14:textId="77777777" w:rsidR="00243F8A" w:rsidRPr="0036083D" w:rsidRDefault="00243F8A" w:rsidP="0036083D">
            <w:pPr>
              <w:spacing w:line="276" w:lineRule="auto"/>
              <w:jc w:val="center"/>
              <w:rPr>
                <w:rFonts w:ascii="Arial" w:hAnsi="Arial" w:cs="Arial"/>
                <w:b/>
                <w:sz w:val="18"/>
                <w:szCs w:val="18"/>
              </w:rPr>
            </w:pPr>
            <w:r w:rsidRPr="0036083D">
              <w:rPr>
                <w:rFonts w:ascii="Arial" w:hAnsi="Arial" w:cs="Arial"/>
                <w:b/>
                <w:sz w:val="18"/>
                <w:szCs w:val="18"/>
              </w:rPr>
              <w:t>I</w:t>
            </w:r>
          </w:p>
        </w:tc>
        <w:tc>
          <w:tcPr>
            <w:tcW w:w="360" w:type="dxa"/>
            <w:shd w:val="clear" w:color="auto" w:fill="D9D9D9" w:themeFill="background1" w:themeFillShade="D9"/>
            <w:vAlign w:val="center"/>
          </w:tcPr>
          <w:p w14:paraId="578A7265" w14:textId="77777777" w:rsidR="00243F8A" w:rsidRPr="0036083D" w:rsidRDefault="00243F8A" w:rsidP="0036083D">
            <w:pPr>
              <w:spacing w:line="276" w:lineRule="auto"/>
              <w:jc w:val="center"/>
              <w:rPr>
                <w:rFonts w:ascii="Arial" w:hAnsi="Arial" w:cs="Arial"/>
                <w:b/>
                <w:sz w:val="18"/>
                <w:szCs w:val="18"/>
              </w:rPr>
            </w:pPr>
            <w:r w:rsidRPr="0036083D">
              <w:rPr>
                <w:rFonts w:ascii="Arial" w:hAnsi="Arial" w:cs="Arial"/>
                <w:b/>
                <w:sz w:val="18"/>
                <w:szCs w:val="18"/>
              </w:rPr>
              <w:t>II</w:t>
            </w:r>
          </w:p>
        </w:tc>
        <w:tc>
          <w:tcPr>
            <w:tcW w:w="1170" w:type="dxa"/>
            <w:gridSpan w:val="2"/>
            <w:vMerge/>
            <w:shd w:val="clear" w:color="auto" w:fill="D9D9D9" w:themeFill="background1" w:themeFillShade="D9"/>
            <w:vAlign w:val="center"/>
          </w:tcPr>
          <w:p w14:paraId="75537AC2" w14:textId="77777777" w:rsidR="00243F8A" w:rsidRPr="0036083D" w:rsidRDefault="00243F8A" w:rsidP="0036083D">
            <w:pPr>
              <w:spacing w:before="60" w:after="60" w:line="276" w:lineRule="auto"/>
              <w:jc w:val="center"/>
              <w:rPr>
                <w:rFonts w:ascii="Arial" w:hAnsi="Arial" w:cs="Arial"/>
                <w:b/>
                <w:sz w:val="18"/>
                <w:szCs w:val="18"/>
              </w:rPr>
            </w:pPr>
          </w:p>
        </w:tc>
        <w:tc>
          <w:tcPr>
            <w:tcW w:w="900" w:type="dxa"/>
            <w:vMerge/>
            <w:shd w:val="clear" w:color="auto" w:fill="D9D9D9" w:themeFill="background1" w:themeFillShade="D9"/>
          </w:tcPr>
          <w:p w14:paraId="1E995E2A" w14:textId="77777777" w:rsidR="00243F8A" w:rsidRPr="0036083D" w:rsidRDefault="00243F8A" w:rsidP="0036083D">
            <w:pPr>
              <w:spacing w:before="60" w:after="60" w:line="276" w:lineRule="auto"/>
              <w:jc w:val="center"/>
              <w:rPr>
                <w:rFonts w:ascii="Arial" w:hAnsi="Arial" w:cs="Arial"/>
                <w:b/>
                <w:sz w:val="18"/>
                <w:szCs w:val="18"/>
              </w:rPr>
            </w:pPr>
          </w:p>
        </w:tc>
      </w:tr>
      <w:tr w:rsidR="00243F8A" w:rsidRPr="0036083D" w14:paraId="06179F99" w14:textId="77777777" w:rsidTr="00507D0F">
        <w:tc>
          <w:tcPr>
            <w:tcW w:w="3708" w:type="dxa"/>
            <w:vAlign w:val="center"/>
          </w:tcPr>
          <w:p w14:paraId="257D1301" w14:textId="77777777" w:rsidR="00243F8A" w:rsidRPr="0036083D" w:rsidRDefault="00243F8A" w:rsidP="0036083D">
            <w:pPr>
              <w:spacing w:after="120" w:line="276" w:lineRule="auto"/>
              <w:rPr>
                <w:rFonts w:ascii="Arial" w:hAnsi="Arial" w:cs="Arial"/>
                <w:b/>
                <w:sz w:val="18"/>
                <w:szCs w:val="18"/>
              </w:rPr>
            </w:pPr>
            <w:r w:rsidRPr="0036083D">
              <w:rPr>
                <w:rFonts w:ascii="Arial" w:hAnsi="Arial" w:cs="Arial"/>
                <w:b/>
                <w:sz w:val="18"/>
                <w:szCs w:val="18"/>
              </w:rPr>
              <w:t>Coordination meetings and supervision visits</w:t>
            </w:r>
          </w:p>
        </w:tc>
        <w:tc>
          <w:tcPr>
            <w:tcW w:w="360" w:type="dxa"/>
            <w:tcBorders>
              <w:bottom w:val="single" w:sz="4" w:space="0" w:color="auto"/>
            </w:tcBorders>
            <w:shd w:val="clear" w:color="auto" w:fill="auto"/>
            <w:vAlign w:val="center"/>
          </w:tcPr>
          <w:p w14:paraId="4A4EE15C" w14:textId="77777777" w:rsidR="00243F8A" w:rsidRPr="0036083D" w:rsidRDefault="00243F8A" w:rsidP="0036083D">
            <w:pPr>
              <w:spacing w:line="276" w:lineRule="auto"/>
              <w:jc w:val="center"/>
              <w:rPr>
                <w:rFonts w:ascii="Arial" w:hAnsi="Arial" w:cs="Arial"/>
                <w:sz w:val="18"/>
                <w:szCs w:val="18"/>
              </w:rPr>
            </w:pPr>
          </w:p>
        </w:tc>
        <w:tc>
          <w:tcPr>
            <w:tcW w:w="360" w:type="dxa"/>
            <w:tcBorders>
              <w:bottom w:val="single" w:sz="4" w:space="0" w:color="auto"/>
            </w:tcBorders>
            <w:shd w:val="clear" w:color="auto" w:fill="auto"/>
            <w:vAlign w:val="center"/>
          </w:tcPr>
          <w:p w14:paraId="4F2851A6"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360" w:type="dxa"/>
            <w:tcBorders>
              <w:bottom w:val="single" w:sz="4" w:space="0" w:color="auto"/>
            </w:tcBorders>
            <w:shd w:val="clear" w:color="auto" w:fill="auto"/>
            <w:vAlign w:val="center"/>
          </w:tcPr>
          <w:p w14:paraId="58D1353B" w14:textId="77777777" w:rsidR="00243F8A" w:rsidRPr="0036083D" w:rsidRDefault="00243F8A" w:rsidP="0036083D">
            <w:pPr>
              <w:spacing w:line="276" w:lineRule="auto"/>
              <w:jc w:val="center"/>
              <w:rPr>
                <w:rFonts w:ascii="Arial" w:hAnsi="Arial" w:cs="Arial"/>
                <w:sz w:val="18"/>
                <w:szCs w:val="18"/>
              </w:rPr>
            </w:pPr>
          </w:p>
        </w:tc>
        <w:tc>
          <w:tcPr>
            <w:tcW w:w="360" w:type="dxa"/>
            <w:tcBorders>
              <w:bottom w:val="single" w:sz="4" w:space="0" w:color="auto"/>
            </w:tcBorders>
            <w:shd w:val="clear" w:color="auto" w:fill="auto"/>
            <w:vAlign w:val="center"/>
          </w:tcPr>
          <w:p w14:paraId="6CF3EFCC"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360" w:type="dxa"/>
            <w:tcBorders>
              <w:bottom w:val="single" w:sz="4" w:space="0" w:color="auto"/>
            </w:tcBorders>
            <w:shd w:val="clear" w:color="auto" w:fill="auto"/>
            <w:vAlign w:val="center"/>
          </w:tcPr>
          <w:p w14:paraId="65435D5E" w14:textId="77777777" w:rsidR="00243F8A" w:rsidRPr="0036083D" w:rsidRDefault="00243F8A" w:rsidP="0036083D">
            <w:pPr>
              <w:spacing w:line="276" w:lineRule="auto"/>
              <w:jc w:val="center"/>
              <w:rPr>
                <w:rFonts w:ascii="Arial" w:hAnsi="Arial" w:cs="Arial"/>
                <w:sz w:val="18"/>
                <w:szCs w:val="18"/>
              </w:rPr>
            </w:pPr>
          </w:p>
        </w:tc>
        <w:tc>
          <w:tcPr>
            <w:tcW w:w="360" w:type="dxa"/>
            <w:tcBorders>
              <w:bottom w:val="single" w:sz="4" w:space="0" w:color="auto"/>
            </w:tcBorders>
            <w:shd w:val="clear" w:color="auto" w:fill="auto"/>
            <w:vAlign w:val="center"/>
          </w:tcPr>
          <w:p w14:paraId="6461CD84"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360" w:type="dxa"/>
            <w:tcBorders>
              <w:bottom w:val="single" w:sz="4" w:space="0" w:color="auto"/>
            </w:tcBorders>
            <w:shd w:val="clear" w:color="auto" w:fill="auto"/>
            <w:vAlign w:val="center"/>
          </w:tcPr>
          <w:p w14:paraId="17163026" w14:textId="77777777" w:rsidR="00243F8A" w:rsidRPr="0036083D" w:rsidRDefault="00243F8A" w:rsidP="0036083D">
            <w:pPr>
              <w:spacing w:line="276" w:lineRule="auto"/>
              <w:jc w:val="center"/>
              <w:rPr>
                <w:rFonts w:ascii="Arial" w:hAnsi="Arial" w:cs="Arial"/>
                <w:sz w:val="18"/>
                <w:szCs w:val="18"/>
              </w:rPr>
            </w:pPr>
          </w:p>
        </w:tc>
        <w:tc>
          <w:tcPr>
            <w:tcW w:w="360" w:type="dxa"/>
            <w:tcBorders>
              <w:bottom w:val="single" w:sz="4" w:space="0" w:color="auto"/>
            </w:tcBorders>
            <w:shd w:val="clear" w:color="auto" w:fill="auto"/>
            <w:vAlign w:val="center"/>
          </w:tcPr>
          <w:p w14:paraId="4941EA8F"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1170" w:type="dxa"/>
            <w:gridSpan w:val="2"/>
            <w:vAlign w:val="center"/>
          </w:tcPr>
          <w:p w14:paraId="00D0581B" w14:textId="77777777" w:rsidR="00243F8A" w:rsidRPr="0036083D" w:rsidRDefault="00243F8A" w:rsidP="0036083D">
            <w:pPr>
              <w:spacing w:line="276" w:lineRule="auto"/>
              <w:jc w:val="center"/>
              <w:rPr>
                <w:rFonts w:ascii="Arial" w:hAnsi="Arial" w:cs="Arial"/>
                <w:sz w:val="16"/>
                <w:szCs w:val="16"/>
              </w:rPr>
            </w:pPr>
            <w:proofErr w:type="spellStart"/>
            <w:r w:rsidRPr="0036083D">
              <w:rPr>
                <w:rFonts w:ascii="Arial" w:hAnsi="Arial" w:cs="Arial"/>
                <w:sz w:val="16"/>
                <w:szCs w:val="16"/>
              </w:rPr>
              <w:t>Bancóldex</w:t>
            </w:r>
            <w:proofErr w:type="spellEnd"/>
            <w:r w:rsidRPr="0036083D">
              <w:rPr>
                <w:rFonts w:ascii="Arial" w:hAnsi="Arial" w:cs="Arial"/>
                <w:sz w:val="16"/>
                <w:szCs w:val="16"/>
              </w:rPr>
              <w:t xml:space="preserve"> /IDB</w:t>
            </w:r>
          </w:p>
        </w:tc>
        <w:tc>
          <w:tcPr>
            <w:tcW w:w="900" w:type="dxa"/>
            <w:vAlign w:val="center"/>
          </w:tcPr>
          <w:p w14:paraId="53D0A35A" w14:textId="77777777" w:rsidR="00243F8A" w:rsidRPr="0036083D" w:rsidRDefault="00243F8A" w:rsidP="0036083D">
            <w:pPr>
              <w:spacing w:line="276" w:lineRule="auto"/>
              <w:jc w:val="center"/>
              <w:rPr>
                <w:rFonts w:ascii="Arial" w:hAnsi="Arial" w:cs="Arial"/>
                <w:b/>
                <w:sz w:val="16"/>
                <w:szCs w:val="16"/>
              </w:rPr>
            </w:pPr>
            <w:r w:rsidRPr="0036083D">
              <w:rPr>
                <w:rFonts w:ascii="Arial" w:hAnsi="Arial" w:cs="Arial"/>
                <w:b/>
                <w:sz w:val="16"/>
                <w:szCs w:val="16"/>
              </w:rPr>
              <w:t>5,000</w:t>
            </w:r>
          </w:p>
        </w:tc>
      </w:tr>
      <w:tr w:rsidR="00243F8A" w:rsidRPr="0036083D" w14:paraId="1799D5EB" w14:textId="77777777" w:rsidTr="00507D0F">
        <w:tc>
          <w:tcPr>
            <w:tcW w:w="3708" w:type="dxa"/>
            <w:tcBorders>
              <w:bottom w:val="single" w:sz="4" w:space="0" w:color="auto"/>
            </w:tcBorders>
            <w:shd w:val="clear" w:color="auto" w:fill="auto"/>
            <w:vAlign w:val="center"/>
          </w:tcPr>
          <w:p w14:paraId="53525EBD" w14:textId="77777777" w:rsidR="00243F8A" w:rsidRPr="0036083D" w:rsidDel="00356E79" w:rsidRDefault="00243F8A" w:rsidP="0036083D">
            <w:pPr>
              <w:spacing w:after="120" w:line="276" w:lineRule="auto"/>
              <w:rPr>
                <w:rFonts w:ascii="Arial" w:hAnsi="Arial" w:cs="Arial"/>
                <w:b/>
                <w:sz w:val="18"/>
                <w:szCs w:val="18"/>
              </w:rPr>
            </w:pPr>
            <w:r w:rsidRPr="0036083D">
              <w:rPr>
                <w:rFonts w:ascii="Arial" w:hAnsi="Arial" w:cs="Arial"/>
                <w:b/>
                <w:sz w:val="18"/>
                <w:szCs w:val="18"/>
              </w:rPr>
              <w:t>Collection of data for output indicators</w:t>
            </w:r>
          </w:p>
        </w:tc>
        <w:tc>
          <w:tcPr>
            <w:tcW w:w="360" w:type="dxa"/>
            <w:tcBorders>
              <w:bottom w:val="single" w:sz="4" w:space="0" w:color="auto"/>
              <w:right w:val="nil"/>
            </w:tcBorders>
            <w:shd w:val="clear" w:color="auto" w:fill="auto"/>
            <w:vAlign w:val="center"/>
          </w:tcPr>
          <w:p w14:paraId="1A094E4E" w14:textId="77777777" w:rsidR="00243F8A" w:rsidRPr="0036083D" w:rsidRDefault="00243F8A" w:rsidP="0036083D">
            <w:pPr>
              <w:spacing w:line="276" w:lineRule="auto"/>
              <w:jc w:val="center"/>
              <w:rPr>
                <w:rFonts w:ascii="Arial" w:hAnsi="Arial" w:cs="Arial"/>
                <w:sz w:val="18"/>
                <w:szCs w:val="18"/>
              </w:rPr>
            </w:pPr>
          </w:p>
        </w:tc>
        <w:tc>
          <w:tcPr>
            <w:tcW w:w="360" w:type="dxa"/>
            <w:tcBorders>
              <w:left w:val="nil"/>
              <w:bottom w:val="single" w:sz="4" w:space="0" w:color="auto"/>
              <w:right w:val="nil"/>
            </w:tcBorders>
            <w:shd w:val="clear" w:color="auto" w:fill="auto"/>
            <w:vAlign w:val="center"/>
          </w:tcPr>
          <w:p w14:paraId="720DD169" w14:textId="77777777" w:rsidR="00243F8A" w:rsidRPr="0036083D" w:rsidRDefault="00243F8A" w:rsidP="0036083D">
            <w:pPr>
              <w:spacing w:line="276" w:lineRule="auto"/>
              <w:jc w:val="center"/>
              <w:rPr>
                <w:rFonts w:ascii="Arial" w:hAnsi="Arial" w:cs="Arial"/>
                <w:sz w:val="18"/>
                <w:szCs w:val="18"/>
              </w:rPr>
            </w:pPr>
          </w:p>
        </w:tc>
        <w:tc>
          <w:tcPr>
            <w:tcW w:w="360" w:type="dxa"/>
            <w:tcBorders>
              <w:left w:val="nil"/>
              <w:bottom w:val="single" w:sz="4" w:space="0" w:color="auto"/>
              <w:right w:val="nil"/>
            </w:tcBorders>
            <w:shd w:val="clear" w:color="auto" w:fill="auto"/>
            <w:vAlign w:val="center"/>
          </w:tcPr>
          <w:p w14:paraId="1727A980" w14:textId="77777777" w:rsidR="00243F8A" w:rsidRPr="0036083D" w:rsidRDefault="00243F8A" w:rsidP="0036083D">
            <w:pPr>
              <w:spacing w:line="276" w:lineRule="auto"/>
              <w:jc w:val="center"/>
              <w:rPr>
                <w:rFonts w:ascii="Arial" w:hAnsi="Arial" w:cs="Arial"/>
                <w:sz w:val="18"/>
                <w:szCs w:val="18"/>
              </w:rPr>
            </w:pPr>
          </w:p>
        </w:tc>
        <w:tc>
          <w:tcPr>
            <w:tcW w:w="360" w:type="dxa"/>
            <w:tcBorders>
              <w:left w:val="nil"/>
              <w:bottom w:val="single" w:sz="4" w:space="0" w:color="auto"/>
              <w:right w:val="nil"/>
            </w:tcBorders>
            <w:shd w:val="clear" w:color="auto" w:fill="auto"/>
            <w:vAlign w:val="center"/>
          </w:tcPr>
          <w:p w14:paraId="679E4CD1" w14:textId="77777777" w:rsidR="00243F8A" w:rsidRPr="0036083D" w:rsidRDefault="00243F8A" w:rsidP="0036083D">
            <w:pPr>
              <w:spacing w:line="276" w:lineRule="auto"/>
              <w:jc w:val="center"/>
              <w:rPr>
                <w:rFonts w:ascii="Arial" w:hAnsi="Arial" w:cs="Arial"/>
                <w:sz w:val="18"/>
                <w:szCs w:val="18"/>
              </w:rPr>
            </w:pPr>
          </w:p>
        </w:tc>
        <w:tc>
          <w:tcPr>
            <w:tcW w:w="360" w:type="dxa"/>
            <w:tcBorders>
              <w:left w:val="nil"/>
              <w:bottom w:val="single" w:sz="4" w:space="0" w:color="auto"/>
              <w:right w:val="nil"/>
            </w:tcBorders>
            <w:shd w:val="clear" w:color="auto" w:fill="auto"/>
            <w:vAlign w:val="center"/>
          </w:tcPr>
          <w:p w14:paraId="3EF5EC68" w14:textId="77777777" w:rsidR="00243F8A" w:rsidRPr="0036083D" w:rsidRDefault="00243F8A" w:rsidP="0036083D">
            <w:pPr>
              <w:spacing w:line="276" w:lineRule="auto"/>
              <w:jc w:val="center"/>
              <w:rPr>
                <w:rFonts w:ascii="Arial" w:hAnsi="Arial" w:cs="Arial"/>
                <w:sz w:val="18"/>
                <w:szCs w:val="18"/>
              </w:rPr>
            </w:pPr>
          </w:p>
        </w:tc>
        <w:tc>
          <w:tcPr>
            <w:tcW w:w="360" w:type="dxa"/>
            <w:tcBorders>
              <w:left w:val="nil"/>
              <w:bottom w:val="single" w:sz="4" w:space="0" w:color="auto"/>
              <w:right w:val="nil"/>
            </w:tcBorders>
            <w:shd w:val="clear" w:color="auto" w:fill="auto"/>
            <w:vAlign w:val="center"/>
          </w:tcPr>
          <w:p w14:paraId="7B7B1CA2" w14:textId="77777777" w:rsidR="00243F8A" w:rsidRPr="0036083D" w:rsidRDefault="00243F8A" w:rsidP="0036083D">
            <w:pPr>
              <w:spacing w:line="276" w:lineRule="auto"/>
              <w:jc w:val="center"/>
              <w:rPr>
                <w:rFonts w:ascii="Arial" w:hAnsi="Arial" w:cs="Arial"/>
                <w:sz w:val="18"/>
                <w:szCs w:val="18"/>
              </w:rPr>
            </w:pPr>
          </w:p>
        </w:tc>
        <w:tc>
          <w:tcPr>
            <w:tcW w:w="360" w:type="dxa"/>
            <w:tcBorders>
              <w:left w:val="nil"/>
              <w:bottom w:val="single" w:sz="4" w:space="0" w:color="auto"/>
              <w:right w:val="nil"/>
            </w:tcBorders>
            <w:shd w:val="clear" w:color="auto" w:fill="auto"/>
            <w:vAlign w:val="center"/>
          </w:tcPr>
          <w:p w14:paraId="3D065E4D" w14:textId="77777777" w:rsidR="00243F8A" w:rsidRPr="0036083D" w:rsidRDefault="00243F8A" w:rsidP="0036083D">
            <w:pPr>
              <w:spacing w:line="276" w:lineRule="auto"/>
              <w:jc w:val="center"/>
              <w:rPr>
                <w:rFonts w:ascii="Arial" w:hAnsi="Arial" w:cs="Arial"/>
                <w:sz w:val="18"/>
                <w:szCs w:val="18"/>
              </w:rPr>
            </w:pPr>
          </w:p>
        </w:tc>
        <w:tc>
          <w:tcPr>
            <w:tcW w:w="360" w:type="dxa"/>
            <w:tcBorders>
              <w:left w:val="nil"/>
              <w:bottom w:val="single" w:sz="4" w:space="0" w:color="auto"/>
              <w:right w:val="nil"/>
            </w:tcBorders>
            <w:shd w:val="clear" w:color="auto" w:fill="auto"/>
            <w:vAlign w:val="center"/>
          </w:tcPr>
          <w:p w14:paraId="385C7595" w14:textId="77777777" w:rsidR="00243F8A" w:rsidRPr="0036083D" w:rsidRDefault="00243F8A" w:rsidP="0036083D">
            <w:pPr>
              <w:spacing w:line="276" w:lineRule="auto"/>
              <w:jc w:val="center"/>
              <w:rPr>
                <w:rFonts w:ascii="Arial" w:hAnsi="Arial" w:cs="Arial"/>
                <w:sz w:val="18"/>
                <w:szCs w:val="18"/>
              </w:rPr>
            </w:pPr>
          </w:p>
        </w:tc>
        <w:tc>
          <w:tcPr>
            <w:tcW w:w="1170" w:type="dxa"/>
            <w:gridSpan w:val="2"/>
            <w:tcBorders>
              <w:bottom w:val="single" w:sz="4" w:space="0" w:color="auto"/>
            </w:tcBorders>
            <w:shd w:val="clear" w:color="auto" w:fill="auto"/>
            <w:vAlign w:val="center"/>
          </w:tcPr>
          <w:p w14:paraId="4E17A527" w14:textId="77777777" w:rsidR="00243F8A" w:rsidRPr="0036083D" w:rsidRDefault="00243F8A" w:rsidP="0036083D">
            <w:pPr>
              <w:spacing w:line="276" w:lineRule="auto"/>
              <w:jc w:val="center"/>
              <w:rPr>
                <w:rFonts w:ascii="Arial" w:hAnsi="Arial" w:cs="Arial"/>
                <w:sz w:val="16"/>
                <w:szCs w:val="16"/>
              </w:rPr>
            </w:pPr>
          </w:p>
        </w:tc>
        <w:tc>
          <w:tcPr>
            <w:tcW w:w="900" w:type="dxa"/>
            <w:tcBorders>
              <w:bottom w:val="single" w:sz="4" w:space="0" w:color="auto"/>
            </w:tcBorders>
            <w:shd w:val="clear" w:color="auto" w:fill="auto"/>
            <w:vAlign w:val="center"/>
          </w:tcPr>
          <w:p w14:paraId="7C27A2B4" w14:textId="77777777" w:rsidR="00243F8A" w:rsidRPr="0036083D" w:rsidRDefault="00243F8A" w:rsidP="0036083D">
            <w:pPr>
              <w:spacing w:line="276" w:lineRule="auto"/>
              <w:jc w:val="center"/>
              <w:rPr>
                <w:rFonts w:ascii="Arial" w:hAnsi="Arial" w:cs="Arial"/>
                <w:b/>
                <w:sz w:val="16"/>
                <w:szCs w:val="16"/>
              </w:rPr>
            </w:pPr>
          </w:p>
        </w:tc>
      </w:tr>
      <w:tr w:rsidR="00243F8A" w:rsidRPr="0036083D" w14:paraId="65267711" w14:textId="77777777" w:rsidTr="00507D0F">
        <w:tc>
          <w:tcPr>
            <w:tcW w:w="3708" w:type="dxa"/>
            <w:tcBorders>
              <w:bottom w:val="nil"/>
            </w:tcBorders>
            <w:vAlign w:val="center"/>
          </w:tcPr>
          <w:p w14:paraId="03B05BE3" w14:textId="77777777" w:rsidR="00243F8A" w:rsidRPr="0036083D" w:rsidRDefault="00243F8A" w:rsidP="0036083D">
            <w:pPr>
              <w:pStyle w:val="ListParagraph"/>
              <w:numPr>
                <w:ilvl w:val="0"/>
                <w:numId w:val="19"/>
              </w:numPr>
              <w:spacing w:after="120" w:line="276" w:lineRule="auto"/>
              <w:ind w:left="180" w:hanging="180"/>
              <w:rPr>
                <w:rFonts w:ascii="Arial" w:hAnsi="Arial" w:cs="Arial"/>
                <w:b/>
                <w:sz w:val="18"/>
                <w:szCs w:val="18"/>
              </w:rPr>
            </w:pPr>
            <w:r w:rsidRPr="0036083D">
              <w:rPr>
                <w:rFonts w:ascii="Arial" w:hAnsi="Arial" w:cs="Arial"/>
                <w:b/>
                <w:sz w:val="18"/>
                <w:szCs w:val="18"/>
              </w:rPr>
              <w:t>Component I</w:t>
            </w:r>
          </w:p>
        </w:tc>
        <w:tc>
          <w:tcPr>
            <w:tcW w:w="360" w:type="dxa"/>
            <w:tcBorders>
              <w:bottom w:val="nil"/>
            </w:tcBorders>
            <w:shd w:val="clear" w:color="auto" w:fill="auto"/>
            <w:vAlign w:val="center"/>
          </w:tcPr>
          <w:p w14:paraId="1FC1B9D5" w14:textId="77777777" w:rsidR="00243F8A" w:rsidRPr="0036083D" w:rsidRDefault="00243F8A" w:rsidP="0036083D">
            <w:pPr>
              <w:spacing w:line="276" w:lineRule="auto"/>
              <w:jc w:val="center"/>
              <w:rPr>
                <w:rFonts w:ascii="Arial" w:hAnsi="Arial" w:cs="Arial"/>
                <w:sz w:val="18"/>
                <w:szCs w:val="18"/>
              </w:rPr>
            </w:pPr>
          </w:p>
        </w:tc>
        <w:tc>
          <w:tcPr>
            <w:tcW w:w="360" w:type="dxa"/>
            <w:tcBorders>
              <w:bottom w:val="nil"/>
            </w:tcBorders>
            <w:shd w:val="clear" w:color="auto" w:fill="auto"/>
            <w:vAlign w:val="center"/>
          </w:tcPr>
          <w:p w14:paraId="6602D3DA"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360" w:type="dxa"/>
            <w:tcBorders>
              <w:bottom w:val="nil"/>
            </w:tcBorders>
            <w:shd w:val="clear" w:color="auto" w:fill="auto"/>
            <w:vAlign w:val="center"/>
          </w:tcPr>
          <w:p w14:paraId="15864A3C" w14:textId="77777777" w:rsidR="00243F8A" w:rsidRPr="0036083D" w:rsidRDefault="00243F8A" w:rsidP="0036083D">
            <w:pPr>
              <w:spacing w:line="276" w:lineRule="auto"/>
              <w:jc w:val="center"/>
              <w:rPr>
                <w:rFonts w:ascii="Arial" w:hAnsi="Arial" w:cs="Arial"/>
                <w:sz w:val="18"/>
                <w:szCs w:val="18"/>
              </w:rPr>
            </w:pPr>
          </w:p>
        </w:tc>
        <w:tc>
          <w:tcPr>
            <w:tcW w:w="360" w:type="dxa"/>
            <w:tcBorders>
              <w:bottom w:val="nil"/>
            </w:tcBorders>
            <w:shd w:val="clear" w:color="auto" w:fill="auto"/>
            <w:vAlign w:val="center"/>
          </w:tcPr>
          <w:p w14:paraId="5BDA92D2"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360" w:type="dxa"/>
            <w:tcBorders>
              <w:bottom w:val="nil"/>
            </w:tcBorders>
            <w:shd w:val="clear" w:color="auto" w:fill="auto"/>
            <w:vAlign w:val="center"/>
          </w:tcPr>
          <w:p w14:paraId="6B3F76E0" w14:textId="77777777" w:rsidR="00243F8A" w:rsidRPr="0036083D" w:rsidRDefault="00243F8A" w:rsidP="0036083D">
            <w:pPr>
              <w:spacing w:line="276" w:lineRule="auto"/>
              <w:jc w:val="center"/>
              <w:rPr>
                <w:rFonts w:ascii="Arial" w:hAnsi="Arial" w:cs="Arial"/>
                <w:sz w:val="18"/>
                <w:szCs w:val="18"/>
              </w:rPr>
            </w:pPr>
          </w:p>
        </w:tc>
        <w:tc>
          <w:tcPr>
            <w:tcW w:w="360" w:type="dxa"/>
            <w:tcBorders>
              <w:bottom w:val="nil"/>
            </w:tcBorders>
            <w:shd w:val="clear" w:color="auto" w:fill="auto"/>
            <w:vAlign w:val="center"/>
          </w:tcPr>
          <w:p w14:paraId="7CC0617D"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360" w:type="dxa"/>
            <w:tcBorders>
              <w:bottom w:val="nil"/>
            </w:tcBorders>
            <w:shd w:val="clear" w:color="auto" w:fill="auto"/>
            <w:vAlign w:val="center"/>
          </w:tcPr>
          <w:p w14:paraId="7B68EAD3" w14:textId="77777777" w:rsidR="00243F8A" w:rsidRPr="0036083D" w:rsidRDefault="00243F8A" w:rsidP="0036083D">
            <w:pPr>
              <w:spacing w:line="276" w:lineRule="auto"/>
              <w:jc w:val="center"/>
              <w:rPr>
                <w:rFonts w:ascii="Arial" w:hAnsi="Arial" w:cs="Arial"/>
                <w:sz w:val="18"/>
                <w:szCs w:val="18"/>
              </w:rPr>
            </w:pPr>
          </w:p>
        </w:tc>
        <w:tc>
          <w:tcPr>
            <w:tcW w:w="360" w:type="dxa"/>
            <w:tcBorders>
              <w:bottom w:val="nil"/>
            </w:tcBorders>
            <w:shd w:val="clear" w:color="auto" w:fill="auto"/>
            <w:vAlign w:val="center"/>
          </w:tcPr>
          <w:p w14:paraId="03058895"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1170" w:type="dxa"/>
            <w:gridSpan w:val="2"/>
            <w:tcBorders>
              <w:bottom w:val="nil"/>
            </w:tcBorders>
            <w:vAlign w:val="center"/>
          </w:tcPr>
          <w:p w14:paraId="06556D36" w14:textId="77777777" w:rsidR="00243F8A" w:rsidRPr="0036083D" w:rsidRDefault="00243F8A" w:rsidP="0036083D">
            <w:pPr>
              <w:spacing w:line="276" w:lineRule="auto"/>
              <w:jc w:val="center"/>
              <w:rPr>
                <w:rFonts w:ascii="Arial" w:hAnsi="Arial" w:cs="Arial"/>
                <w:sz w:val="16"/>
                <w:szCs w:val="16"/>
              </w:rPr>
            </w:pPr>
            <w:proofErr w:type="spellStart"/>
            <w:r w:rsidRPr="0036083D">
              <w:rPr>
                <w:rFonts w:ascii="Arial" w:hAnsi="Arial" w:cs="Arial"/>
                <w:sz w:val="16"/>
                <w:szCs w:val="16"/>
              </w:rPr>
              <w:t>Bancóldex</w:t>
            </w:r>
            <w:proofErr w:type="spellEnd"/>
            <w:r w:rsidRPr="0036083D">
              <w:rPr>
                <w:rFonts w:ascii="Arial" w:hAnsi="Arial" w:cs="Arial"/>
                <w:sz w:val="16"/>
                <w:szCs w:val="16"/>
              </w:rPr>
              <w:t xml:space="preserve"> /IDB</w:t>
            </w:r>
          </w:p>
        </w:tc>
        <w:tc>
          <w:tcPr>
            <w:tcW w:w="900" w:type="dxa"/>
            <w:tcBorders>
              <w:bottom w:val="nil"/>
            </w:tcBorders>
            <w:vAlign w:val="center"/>
          </w:tcPr>
          <w:p w14:paraId="164B6320" w14:textId="77777777" w:rsidR="00243F8A" w:rsidRPr="0036083D" w:rsidRDefault="00243F8A" w:rsidP="0036083D">
            <w:pPr>
              <w:spacing w:line="276" w:lineRule="auto"/>
              <w:jc w:val="center"/>
              <w:rPr>
                <w:rFonts w:ascii="Arial" w:hAnsi="Arial" w:cs="Arial"/>
                <w:b/>
                <w:sz w:val="16"/>
                <w:szCs w:val="16"/>
              </w:rPr>
            </w:pPr>
            <w:r w:rsidRPr="0036083D">
              <w:rPr>
                <w:rFonts w:ascii="Arial" w:hAnsi="Arial" w:cs="Arial"/>
                <w:b/>
                <w:sz w:val="16"/>
                <w:szCs w:val="16"/>
              </w:rPr>
              <w:t>5,000</w:t>
            </w:r>
          </w:p>
        </w:tc>
      </w:tr>
      <w:tr w:rsidR="00243F8A" w:rsidRPr="0036083D" w14:paraId="23039333" w14:textId="77777777" w:rsidTr="00507D0F">
        <w:trPr>
          <w:trHeight w:val="170"/>
        </w:trPr>
        <w:tc>
          <w:tcPr>
            <w:tcW w:w="3708" w:type="dxa"/>
            <w:tcBorders>
              <w:bottom w:val="single" w:sz="4" w:space="0" w:color="auto"/>
            </w:tcBorders>
            <w:vAlign w:val="center"/>
          </w:tcPr>
          <w:p w14:paraId="0FB2C574" w14:textId="12B598D0" w:rsidR="00243F8A" w:rsidRPr="0036083D" w:rsidRDefault="00243F8A" w:rsidP="0036083D">
            <w:pPr>
              <w:spacing w:after="120" w:line="276" w:lineRule="auto"/>
              <w:rPr>
                <w:rFonts w:ascii="Arial" w:hAnsi="Arial" w:cs="Arial"/>
                <w:b/>
                <w:sz w:val="18"/>
                <w:szCs w:val="18"/>
              </w:rPr>
            </w:pPr>
            <w:r w:rsidRPr="0036083D">
              <w:rPr>
                <w:rFonts w:ascii="Arial" w:hAnsi="Arial" w:cs="Arial"/>
                <w:b/>
                <w:sz w:val="18"/>
                <w:szCs w:val="18"/>
              </w:rPr>
              <w:t>Collection of data for outcome indicators</w:t>
            </w:r>
            <w:r w:rsidR="001E10D5">
              <w:rPr>
                <w:rStyle w:val="FootnoteReference"/>
                <w:b/>
                <w:szCs w:val="18"/>
              </w:rPr>
              <w:footnoteReference w:id="3"/>
            </w:r>
          </w:p>
        </w:tc>
        <w:tc>
          <w:tcPr>
            <w:tcW w:w="360" w:type="dxa"/>
            <w:tcBorders>
              <w:bottom w:val="single" w:sz="4" w:space="0" w:color="auto"/>
              <w:right w:val="nil"/>
            </w:tcBorders>
            <w:shd w:val="clear" w:color="auto" w:fill="auto"/>
            <w:vAlign w:val="center"/>
          </w:tcPr>
          <w:p w14:paraId="584DA138" w14:textId="77777777" w:rsidR="00243F8A" w:rsidRPr="0036083D" w:rsidRDefault="00243F8A" w:rsidP="0036083D">
            <w:pPr>
              <w:spacing w:line="276" w:lineRule="auto"/>
              <w:jc w:val="center"/>
              <w:rPr>
                <w:rFonts w:ascii="Arial" w:hAnsi="Arial" w:cs="Arial"/>
                <w:sz w:val="18"/>
                <w:szCs w:val="18"/>
              </w:rPr>
            </w:pPr>
          </w:p>
        </w:tc>
        <w:tc>
          <w:tcPr>
            <w:tcW w:w="360" w:type="dxa"/>
            <w:tcBorders>
              <w:left w:val="nil"/>
              <w:bottom w:val="single" w:sz="4" w:space="0" w:color="auto"/>
              <w:right w:val="nil"/>
            </w:tcBorders>
            <w:shd w:val="clear" w:color="auto" w:fill="auto"/>
            <w:vAlign w:val="center"/>
          </w:tcPr>
          <w:p w14:paraId="352ED662" w14:textId="77777777" w:rsidR="00243F8A" w:rsidRPr="0036083D" w:rsidRDefault="00243F8A" w:rsidP="0036083D">
            <w:pPr>
              <w:spacing w:line="276" w:lineRule="auto"/>
              <w:jc w:val="center"/>
              <w:rPr>
                <w:rFonts w:ascii="Arial" w:hAnsi="Arial" w:cs="Arial"/>
                <w:sz w:val="18"/>
                <w:szCs w:val="18"/>
              </w:rPr>
            </w:pPr>
          </w:p>
        </w:tc>
        <w:tc>
          <w:tcPr>
            <w:tcW w:w="360" w:type="dxa"/>
            <w:tcBorders>
              <w:left w:val="nil"/>
              <w:bottom w:val="single" w:sz="4" w:space="0" w:color="auto"/>
              <w:right w:val="nil"/>
            </w:tcBorders>
            <w:shd w:val="clear" w:color="auto" w:fill="auto"/>
            <w:vAlign w:val="center"/>
          </w:tcPr>
          <w:p w14:paraId="60E33CCD" w14:textId="77777777" w:rsidR="00243F8A" w:rsidRPr="0036083D" w:rsidRDefault="00243F8A" w:rsidP="0036083D">
            <w:pPr>
              <w:spacing w:line="276" w:lineRule="auto"/>
              <w:jc w:val="center"/>
              <w:rPr>
                <w:rFonts w:ascii="Arial" w:hAnsi="Arial" w:cs="Arial"/>
                <w:sz w:val="18"/>
                <w:szCs w:val="18"/>
              </w:rPr>
            </w:pPr>
          </w:p>
        </w:tc>
        <w:tc>
          <w:tcPr>
            <w:tcW w:w="360" w:type="dxa"/>
            <w:tcBorders>
              <w:left w:val="nil"/>
              <w:bottom w:val="single" w:sz="4" w:space="0" w:color="auto"/>
              <w:right w:val="nil"/>
            </w:tcBorders>
            <w:shd w:val="clear" w:color="auto" w:fill="auto"/>
            <w:vAlign w:val="center"/>
          </w:tcPr>
          <w:p w14:paraId="08A05E17" w14:textId="77777777" w:rsidR="00243F8A" w:rsidRPr="0036083D" w:rsidRDefault="00243F8A" w:rsidP="0036083D">
            <w:pPr>
              <w:spacing w:line="276" w:lineRule="auto"/>
              <w:jc w:val="center"/>
              <w:rPr>
                <w:rFonts w:ascii="Arial" w:hAnsi="Arial" w:cs="Arial"/>
                <w:sz w:val="18"/>
                <w:szCs w:val="18"/>
              </w:rPr>
            </w:pPr>
          </w:p>
        </w:tc>
        <w:tc>
          <w:tcPr>
            <w:tcW w:w="360" w:type="dxa"/>
            <w:tcBorders>
              <w:left w:val="nil"/>
              <w:bottom w:val="single" w:sz="4" w:space="0" w:color="auto"/>
              <w:right w:val="nil"/>
            </w:tcBorders>
            <w:shd w:val="clear" w:color="auto" w:fill="auto"/>
            <w:vAlign w:val="center"/>
          </w:tcPr>
          <w:p w14:paraId="0B465520" w14:textId="77777777" w:rsidR="00243F8A" w:rsidRPr="0036083D" w:rsidRDefault="00243F8A" w:rsidP="0036083D">
            <w:pPr>
              <w:spacing w:line="276" w:lineRule="auto"/>
              <w:jc w:val="center"/>
              <w:rPr>
                <w:rFonts w:ascii="Arial" w:hAnsi="Arial" w:cs="Arial"/>
                <w:sz w:val="18"/>
                <w:szCs w:val="18"/>
              </w:rPr>
            </w:pPr>
          </w:p>
        </w:tc>
        <w:tc>
          <w:tcPr>
            <w:tcW w:w="360" w:type="dxa"/>
            <w:tcBorders>
              <w:left w:val="nil"/>
              <w:bottom w:val="single" w:sz="4" w:space="0" w:color="auto"/>
              <w:right w:val="nil"/>
            </w:tcBorders>
            <w:shd w:val="clear" w:color="auto" w:fill="auto"/>
            <w:vAlign w:val="center"/>
          </w:tcPr>
          <w:p w14:paraId="243C6C04" w14:textId="77777777" w:rsidR="00243F8A" w:rsidRPr="0036083D" w:rsidRDefault="00243F8A" w:rsidP="0036083D">
            <w:pPr>
              <w:spacing w:line="276" w:lineRule="auto"/>
              <w:jc w:val="center"/>
              <w:rPr>
                <w:rFonts w:ascii="Arial" w:hAnsi="Arial" w:cs="Arial"/>
                <w:sz w:val="18"/>
                <w:szCs w:val="18"/>
              </w:rPr>
            </w:pPr>
          </w:p>
        </w:tc>
        <w:tc>
          <w:tcPr>
            <w:tcW w:w="360" w:type="dxa"/>
            <w:tcBorders>
              <w:left w:val="nil"/>
              <w:bottom w:val="single" w:sz="4" w:space="0" w:color="auto"/>
              <w:right w:val="nil"/>
            </w:tcBorders>
            <w:shd w:val="clear" w:color="auto" w:fill="auto"/>
            <w:vAlign w:val="center"/>
          </w:tcPr>
          <w:p w14:paraId="3D08A28E" w14:textId="77777777" w:rsidR="00243F8A" w:rsidRPr="0036083D" w:rsidRDefault="00243F8A" w:rsidP="0036083D">
            <w:pPr>
              <w:spacing w:line="276" w:lineRule="auto"/>
              <w:jc w:val="center"/>
              <w:rPr>
                <w:rFonts w:ascii="Arial" w:hAnsi="Arial" w:cs="Arial"/>
                <w:sz w:val="18"/>
                <w:szCs w:val="18"/>
              </w:rPr>
            </w:pPr>
          </w:p>
        </w:tc>
        <w:tc>
          <w:tcPr>
            <w:tcW w:w="360" w:type="dxa"/>
            <w:tcBorders>
              <w:left w:val="nil"/>
              <w:bottom w:val="single" w:sz="4" w:space="0" w:color="auto"/>
              <w:right w:val="nil"/>
            </w:tcBorders>
            <w:shd w:val="clear" w:color="auto" w:fill="auto"/>
            <w:vAlign w:val="center"/>
          </w:tcPr>
          <w:p w14:paraId="0F50F7E8" w14:textId="77777777" w:rsidR="00243F8A" w:rsidRPr="0036083D" w:rsidRDefault="00243F8A" w:rsidP="0036083D">
            <w:pPr>
              <w:spacing w:line="276" w:lineRule="auto"/>
              <w:jc w:val="center"/>
              <w:rPr>
                <w:rFonts w:ascii="Arial" w:hAnsi="Arial" w:cs="Arial"/>
                <w:sz w:val="18"/>
                <w:szCs w:val="18"/>
              </w:rPr>
            </w:pPr>
          </w:p>
        </w:tc>
        <w:tc>
          <w:tcPr>
            <w:tcW w:w="1170" w:type="dxa"/>
            <w:gridSpan w:val="2"/>
            <w:tcBorders>
              <w:bottom w:val="single" w:sz="4" w:space="0" w:color="auto"/>
            </w:tcBorders>
            <w:vAlign w:val="center"/>
          </w:tcPr>
          <w:p w14:paraId="30433C59" w14:textId="77777777" w:rsidR="00243F8A" w:rsidRPr="0036083D" w:rsidRDefault="00243F8A" w:rsidP="0036083D">
            <w:pPr>
              <w:spacing w:line="276" w:lineRule="auto"/>
              <w:jc w:val="center"/>
              <w:rPr>
                <w:rFonts w:ascii="Arial" w:hAnsi="Arial" w:cs="Arial"/>
                <w:sz w:val="16"/>
                <w:szCs w:val="16"/>
              </w:rPr>
            </w:pPr>
          </w:p>
        </w:tc>
        <w:tc>
          <w:tcPr>
            <w:tcW w:w="900" w:type="dxa"/>
            <w:tcBorders>
              <w:bottom w:val="single" w:sz="4" w:space="0" w:color="auto"/>
            </w:tcBorders>
            <w:vAlign w:val="center"/>
          </w:tcPr>
          <w:p w14:paraId="1E6EFD99" w14:textId="77777777" w:rsidR="00243F8A" w:rsidRPr="0036083D" w:rsidRDefault="00243F8A" w:rsidP="0036083D">
            <w:pPr>
              <w:spacing w:line="276" w:lineRule="auto"/>
              <w:jc w:val="center"/>
              <w:rPr>
                <w:rFonts w:ascii="Arial" w:hAnsi="Arial" w:cs="Arial"/>
                <w:b/>
                <w:sz w:val="16"/>
                <w:szCs w:val="16"/>
              </w:rPr>
            </w:pPr>
            <w:r w:rsidRPr="0036083D">
              <w:rPr>
                <w:rFonts w:ascii="Arial" w:hAnsi="Arial" w:cs="Arial"/>
                <w:b/>
                <w:sz w:val="16"/>
                <w:szCs w:val="16"/>
              </w:rPr>
              <w:t>10,000</w:t>
            </w:r>
          </w:p>
        </w:tc>
      </w:tr>
      <w:tr w:rsidR="00243F8A" w:rsidRPr="0036083D" w14:paraId="6A83C05E" w14:textId="77777777" w:rsidTr="00507D0F">
        <w:tc>
          <w:tcPr>
            <w:tcW w:w="3708" w:type="dxa"/>
            <w:tcBorders>
              <w:bottom w:val="nil"/>
            </w:tcBorders>
            <w:vAlign w:val="center"/>
          </w:tcPr>
          <w:p w14:paraId="5B32E358" w14:textId="16244FE9" w:rsidR="00243F8A" w:rsidRPr="0036083D" w:rsidRDefault="00243F8A" w:rsidP="0036083D">
            <w:pPr>
              <w:pStyle w:val="ListParagraph"/>
              <w:numPr>
                <w:ilvl w:val="0"/>
                <w:numId w:val="19"/>
              </w:numPr>
              <w:spacing w:after="120" w:line="276" w:lineRule="auto"/>
              <w:ind w:left="180" w:hanging="180"/>
              <w:rPr>
                <w:rFonts w:ascii="Arial" w:hAnsi="Arial" w:cs="Arial"/>
                <w:b/>
                <w:sz w:val="18"/>
                <w:szCs w:val="18"/>
              </w:rPr>
            </w:pPr>
            <w:r w:rsidRPr="0036083D">
              <w:rPr>
                <w:rFonts w:ascii="Arial" w:hAnsi="Arial" w:cs="Arial"/>
                <w:b/>
                <w:sz w:val="18"/>
                <w:szCs w:val="18"/>
              </w:rPr>
              <w:t>Additional investment leveraged by the program beneficiaries</w:t>
            </w:r>
            <w:r w:rsidR="001E10D5">
              <w:rPr>
                <w:rFonts w:ascii="Arial" w:hAnsi="Arial" w:cs="Arial"/>
                <w:b/>
                <w:sz w:val="18"/>
                <w:szCs w:val="18"/>
              </w:rPr>
              <w:t>.</w:t>
            </w:r>
          </w:p>
        </w:tc>
        <w:tc>
          <w:tcPr>
            <w:tcW w:w="360" w:type="dxa"/>
            <w:tcBorders>
              <w:bottom w:val="nil"/>
            </w:tcBorders>
            <w:shd w:val="clear" w:color="auto" w:fill="auto"/>
            <w:vAlign w:val="center"/>
          </w:tcPr>
          <w:p w14:paraId="4A487C50" w14:textId="77777777" w:rsidR="00243F8A" w:rsidRPr="0036083D" w:rsidRDefault="00243F8A" w:rsidP="0036083D">
            <w:pPr>
              <w:spacing w:line="276" w:lineRule="auto"/>
              <w:jc w:val="center"/>
              <w:rPr>
                <w:rFonts w:ascii="Arial" w:hAnsi="Arial" w:cs="Arial"/>
                <w:sz w:val="18"/>
                <w:szCs w:val="18"/>
              </w:rPr>
            </w:pPr>
          </w:p>
        </w:tc>
        <w:tc>
          <w:tcPr>
            <w:tcW w:w="360" w:type="dxa"/>
            <w:tcBorders>
              <w:bottom w:val="nil"/>
            </w:tcBorders>
            <w:shd w:val="clear" w:color="auto" w:fill="auto"/>
            <w:vAlign w:val="center"/>
          </w:tcPr>
          <w:p w14:paraId="59D5DEA1"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360" w:type="dxa"/>
            <w:tcBorders>
              <w:bottom w:val="nil"/>
            </w:tcBorders>
            <w:shd w:val="clear" w:color="auto" w:fill="auto"/>
            <w:vAlign w:val="center"/>
          </w:tcPr>
          <w:p w14:paraId="7CCAB0F5" w14:textId="77777777" w:rsidR="00243F8A" w:rsidRPr="0036083D" w:rsidRDefault="00243F8A" w:rsidP="0036083D">
            <w:pPr>
              <w:spacing w:line="276" w:lineRule="auto"/>
              <w:jc w:val="center"/>
              <w:rPr>
                <w:rFonts w:ascii="Arial" w:hAnsi="Arial" w:cs="Arial"/>
                <w:sz w:val="18"/>
                <w:szCs w:val="18"/>
              </w:rPr>
            </w:pPr>
          </w:p>
        </w:tc>
        <w:tc>
          <w:tcPr>
            <w:tcW w:w="360" w:type="dxa"/>
            <w:tcBorders>
              <w:bottom w:val="nil"/>
            </w:tcBorders>
            <w:shd w:val="clear" w:color="auto" w:fill="auto"/>
            <w:vAlign w:val="center"/>
          </w:tcPr>
          <w:p w14:paraId="06F3AB7B"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360" w:type="dxa"/>
            <w:tcBorders>
              <w:bottom w:val="nil"/>
            </w:tcBorders>
            <w:shd w:val="clear" w:color="auto" w:fill="auto"/>
            <w:vAlign w:val="center"/>
          </w:tcPr>
          <w:p w14:paraId="4D06468E" w14:textId="77777777" w:rsidR="00243F8A" w:rsidRPr="0036083D" w:rsidRDefault="00243F8A" w:rsidP="0036083D">
            <w:pPr>
              <w:spacing w:line="276" w:lineRule="auto"/>
              <w:jc w:val="center"/>
              <w:rPr>
                <w:rFonts w:ascii="Arial" w:hAnsi="Arial" w:cs="Arial"/>
                <w:sz w:val="18"/>
                <w:szCs w:val="18"/>
              </w:rPr>
            </w:pPr>
          </w:p>
        </w:tc>
        <w:tc>
          <w:tcPr>
            <w:tcW w:w="360" w:type="dxa"/>
            <w:tcBorders>
              <w:bottom w:val="nil"/>
            </w:tcBorders>
            <w:shd w:val="clear" w:color="auto" w:fill="auto"/>
            <w:vAlign w:val="center"/>
          </w:tcPr>
          <w:p w14:paraId="04CD8A42"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360" w:type="dxa"/>
            <w:tcBorders>
              <w:bottom w:val="nil"/>
            </w:tcBorders>
            <w:shd w:val="clear" w:color="auto" w:fill="auto"/>
            <w:vAlign w:val="center"/>
          </w:tcPr>
          <w:p w14:paraId="5C3DC331" w14:textId="77777777" w:rsidR="00243F8A" w:rsidRPr="0036083D" w:rsidRDefault="00243F8A" w:rsidP="0036083D">
            <w:pPr>
              <w:spacing w:line="276" w:lineRule="auto"/>
              <w:jc w:val="center"/>
              <w:rPr>
                <w:rFonts w:ascii="Arial" w:hAnsi="Arial" w:cs="Arial"/>
                <w:sz w:val="18"/>
                <w:szCs w:val="18"/>
              </w:rPr>
            </w:pPr>
          </w:p>
        </w:tc>
        <w:tc>
          <w:tcPr>
            <w:tcW w:w="360" w:type="dxa"/>
            <w:tcBorders>
              <w:bottom w:val="nil"/>
            </w:tcBorders>
            <w:shd w:val="clear" w:color="auto" w:fill="auto"/>
            <w:vAlign w:val="center"/>
          </w:tcPr>
          <w:p w14:paraId="48761800"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1170" w:type="dxa"/>
            <w:gridSpan w:val="2"/>
            <w:tcBorders>
              <w:bottom w:val="nil"/>
            </w:tcBorders>
            <w:vAlign w:val="center"/>
          </w:tcPr>
          <w:p w14:paraId="758392BC" w14:textId="77777777" w:rsidR="00243F8A" w:rsidRPr="0036083D" w:rsidRDefault="00243F8A" w:rsidP="0036083D">
            <w:pPr>
              <w:spacing w:line="276" w:lineRule="auto"/>
              <w:jc w:val="center"/>
              <w:rPr>
                <w:rFonts w:ascii="Arial" w:hAnsi="Arial" w:cs="Arial"/>
                <w:sz w:val="16"/>
                <w:szCs w:val="16"/>
              </w:rPr>
            </w:pPr>
            <w:proofErr w:type="spellStart"/>
            <w:r w:rsidRPr="0036083D">
              <w:rPr>
                <w:rFonts w:ascii="Arial" w:hAnsi="Arial" w:cs="Arial"/>
                <w:sz w:val="16"/>
                <w:szCs w:val="16"/>
              </w:rPr>
              <w:t>Bancóldex</w:t>
            </w:r>
            <w:proofErr w:type="spellEnd"/>
          </w:p>
        </w:tc>
        <w:tc>
          <w:tcPr>
            <w:tcW w:w="900" w:type="dxa"/>
            <w:tcBorders>
              <w:bottom w:val="nil"/>
            </w:tcBorders>
            <w:vAlign w:val="center"/>
          </w:tcPr>
          <w:p w14:paraId="53A13539" w14:textId="77777777" w:rsidR="00243F8A" w:rsidRPr="0036083D" w:rsidRDefault="00243F8A" w:rsidP="0036083D">
            <w:pPr>
              <w:spacing w:line="276" w:lineRule="auto"/>
              <w:jc w:val="center"/>
              <w:rPr>
                <w:rFonts w:ascii="Arial" w:hAnsi="Arial" w:cs="Arial"/>
                <w:sz w:val="16"/>
                <w:szCs w:val="16"/>
              </w:rPr>
            </w:pPr>
            <w:r w:rsidRPr="0036083D">
              <w:rPr>
                <w:rFonts w:ascii="Arial" w:hAnsi="Arial" w:cs="Arial"/>
                <w:sz w:val="16"/>
                <w:szCs w:val="16"/>
              </w:rPr>
              <w:t>2,500</w:t>
            </w:r>
          </w:p>
        </w:tc>
      </w:tr>
      <w:tr w:rsidR="00243F8A" w:rsidRPr="0036083D" w14:paraId="58113220" w14:textId="77777777" w:rsidTr="00507D0F">
        <w:tc>
          <w:tcPr>
            <w:tcW w:w="3708" w:type="dxa"/>
            <w:tcBorders>
              <w:top w:val="nil"/>
              <w:left w:val="single" w:sz="4" w:space="0" w:color="auto"/>
              <w:bottom w:val="nil"/>
              <w:right w:val="single" w:sz="4" w:space="0" w:color="auto"/>
            </w:tcBorders>
            <w:vAlign w:val="center"/>
          </w:tcPr>
          <w:p w14:paraId="5B77CF3B" w14:textId="77777777" w:rsidR="00243F8A" w:rsidRPr="0036083D" w:rsidRDefault="00243F8A" w:rsidP="0036083D">
            <w:pPr>
              <w:pStyle w:val="ListParagraph"/>
              <w:numPr>
                <w:ilvl w:val="0"/>
                <w:numId w:val="19"/>
              </w:numPr>
              <w:spacing w:after="120" w:line="276" w:lineRule="auto"/>
              <w:ind w:left="180" w:hanging="180"/>
              <w:rPr>
                <w:rFonts w:ascii="Arial" w:hAnsi="Arial" w:cs="Arial"/>
                <w:b/>
                <w:sz w:val="18"/>
                <w:szCs w:val="18"/>
              </w:rPr>
            </w:pPr>
            <w:r w:rsidRPr="0036083D">
              <w:rPr>
                <w:rFonts w:ascii="Arial" w:hAnsi="Arial" w:cs="Arial"/>
                <w:b/>
                <w:sz w:val="18"/>
                <w:szCs w:val="18"/>
              </w:rPr>
              <w:t>Greenhouse Gas emissions reduced by projects financed by the program.</w:t>
            </w:r>
          </w:p>
        </w:tc>
        <w:tc>
          <w:tcPr>
            <w:tcW w:w="360" w:type="dxa"/>
            <w:tcBorders>
              <w:top w:val="nil"/>
              <w:left w:val="single" w:sz="4" w:space="0" w:color="auto"/>
              <w:bottom w:val="nil"/>
              <w:right w:val="single" w:sz="4" w:space="0" w:color="auto"/>
            </w:tcBorders>
            <w:shd w:val="clear" w:color="auto" w:fill="auto"/>
            <w:vAlign w:val="center"/>
          </w:tcPr>
          <w:p w14:paraId="1E55F8A8" w14:textId="77777777" w:rsidR="00243F8A" w:rsidRPr="0036083D" w:rsidRDefault="00243F8A" w:rsidP="0036083D">
            <w:pPr>
              <w:spacing w:line="276" w:lineRule="auto"/>
              <w:jc w:val="center"/>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vAlign w:val="center"/>
          </w:tcPr>
          <w:p w14:paraId="6330FFEC"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360" w:type="dxa"/>
            <w:tcBorders>
              <w:top w:val="nil"/>
              <w:left w:val="single" w:sz="4" w:space="0" w:color="auto"/>
              <w:bottom w:val="nil"/>
              <w:right w:val="single" w:sz="4" w:space="0" w:color="auto"/>
            </w:tcBorders>
            <w:shd w:val="clear" w:color="auto" w:fill="auto"/>
            <w:vAlign w:val="center"/>
          </w:tcPr>
          <w:p w14:paraId="69D6F818" w14:textId="77777777" w:rsidR="00243F8A" w:rsidRPr="0036083D" w:rsidRDefault="00243F8A" w:rsidP="0036083D">
            <w:pPr>
              <w:spacing w:line="276" w:lineRule="auto"/>
              <w:jc w:val="center"/>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vAlign w:val="center"/>
          </w:tcPr>
          <w:p w14:paraId="76F8981E"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360" w:type="dxa"/>
            <w:tcBorders>
              <w:top w:val="nil"/>
              <w:left w:val="single" w:sz="4" w:space="0" w:color="auto"/>
              <w:bottom w:val="nil"/>
              <w:right w:val="single" w:sz="4" w:space="0" w:color="auto"/>
            </w:tcBorders>
            <w:shd w:val="clear" w:color="auto" w:fill="auto"/>
            <w:vAlign w:val="center"/>
          </w:tcPr>
          <w:p w14:paraId="39F0AA37" w14:textId="77777777" w:rsidR="00243F8A" w:rsidRPr="0036083D" w:rsidRDefault="00243F8A" w:rsidP="0036083D">
            <w:pPr>
              <w:spacing w:line="276" w:lineRule="auto"/>
              <w:jc w:val="center"/>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vAlign w:val="center"/>
          </w:tcPr>
          <w:p w14:paraId="60BEC86F"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360" w:type="dxa"/>
            <w:tcBorders>
              <w:top w:val="nil"/>
              <w:left w:val="single" w:sz="4" w:space="0" w:color="auto"/>
              <w:bottom w:val="nil"/>
              <w:right w:val="single" w:sz="4" w:space="0" w:color="auto"/>
            </w:tcBorders>
            <w:shd w:val="clear" w:color="auto" w:fill="auto"/>
            <w:vAlign w:val="center"/>
          </w:tcPr>
          <w:p w14:paraId="121C3CF8" w14:textId="77777777" w:rsidR="00243F8A" w:rsidRPr="0036083D" w:rsidRDefault="00243F8A" w:rsidP="0036083D">
            <w:pPr>
              <w:spacing w:line="276" w:lineRule="auto"/>
              <w:jc w:val="center"/>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vAlign w:val="center"/>
          </w:tcPr>
          <w:p w14:paraId="605BA61F"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1170" w:type="dxa"/>
            <w:gridSpan w:val="2"/>
            <w:tcBorders>
              <w:top w:val="nil"/>
              <w:left w:val="single" w:sz="4" w:space="0" w:color="auto"/>
              <w:bottom w:val="nil"/>
              <w:right w:val="single" w:sz="4" w:space="0" w:color="auto"/>
            </w:tcBorders>
            <w:vAlign w:val="center"/>
          </w:tcPr>
          <w:p w14:paraId="3700DDA9" w14:textId="77777777" w:rsidR="00243F8A" w:rsidRPr="0036083D" w:rsidRDefault="00243F8A" w:rsidP="0036083D">
            <w:pPr>
              <w:spacing w:line="276" w:lineRule="auto"/>
              <w:jc w:val="center"/>
              <w:rPr>
                <w:rFonts w:ascii="Arial" w:hAnsi="Arial" w:cs="Arial"/>
                <w:sz w:val="16"/>
                <w:szCs w:val="16"/>
              </w:rPr>
            </w:pPr>
            <w:r w:rsidRPr="0036083D">
              <w:rPr>
                <w:rFonts w:ascii="Arial" w:hAnsi="Arial" w:cs="Arial"/>
                <w:sz w:val="16"/>
                <w:szCs w:val="16"/>
              </w:rPr>
              <w:t xml:space="preserve">IDB/ </w:t>
            </w:r>
            <w:proofErr w:type="spellStart"/>
            <w:r w:rsidRPr="0036083D">
              <w:rPr>
                <w:rFonts w:ascii="Arial" w:hAnsi="Arial" w:cs="Arial"/>
                <w:sz w:val="16"/>
                <w:szCs w:val="16"/>
              </w:rPr>
              <w:t>Bancóldex</w:t>
            </w:r>
            <w:proofErr w:type="spellEnd"/>
          </w:p>
        </w:tc>
        <w:tc>
          <w:tcPr>
            <w:tcW w:w="900" w:type="dxa"/>
            <w:tcBorders>
              <w:top w:val="nil"/>
              <w:left w:val="single" w:sz="4" w:space="0" w:color="auto"/>
              <w:bottom w:val="nil"/>
              <w:right w:val="single" w:sz="4" w:space="0" w:color="auto"/>
            </w:tcBorders>
            <w:vAlign w:val="center"/>
          </w:tcPr>
          <w:p w14:paraId="37447389" w14:textId="77777777" w:rsidR="00243F8A" w:rsidRPr="0036083D" w:rsidRDefault="00243F8A" w:rsidP="0036083D">
            <w:pPr>
              <w:spacing w:line="276" w:lineRule="auto"/>
              <w:jc w:val="center"/>
              <w:rPr>
                <w:rFonts w:ascii="Arial" w:hAnsi="Arial" w:cs="Arial"/>
                <w:sz w:val="16"/>
                <w:szCs w:val="16"/>
              </w:rPr>
            </w:pPr>
            <w:r w:rsidRPr="0036083D">
              <w:rPr>
                <w:rFonts w:ascii="Arial" w:hAnsi="Arial" w:cs="Arial"/>
                <w:sz w:val="16"/>
                <w:szCs w:val="16"/>
              </w:rPr>
              <w:t>2,500</w:t>
            </w:r>
          </w:p>
        </w:tc>
      </w:tr>
      <w:tr w:rsidR="00243F8A" w:rsidRPr="0036083D" w14:paraId="21E53313" w14:textId="77777777" w:rsidTr="00507D0F">
        <w:tc>
          <w:tcPr>
            <w:tcW w:w="3708" w:type="dxa"/>
            <w:tcBorders>
              <w:top w:val="nil"/>
              <w:bottom w:val="nil"/>
            </w:tcBorders>
            <w:vAlign w:val="center"/>
          </w:tcPr>
          <w:p w14:paraId="26BCC9EC" w14:textId="77777777" w:rsidR="00243F8A" w:rsidRPr="0036083D" w:rsidRDefault="00243F8A" w:rsidP="0036083D">
            <w:pPr>
              <w:pStyle w:val="ListParagraph"/>
              <w:numPr>
                <w:ilvl w:val="0"/>
                <w:numId w:val="19"/>
              </w:numPr>
              <w:spacing w:after="120" w:line="276" w:lineRule="auto"/>
              <w:ind w:left="180" w:hanging="180"/>
              <w:rPr>
                <w:rFonts w:ascii="Arial" w:hAnsi="Arial" w:cs="Arial"/>
                <w:b/>
                <w:sz w:val="18"/>
                <w:szCs w:val="18"/>
              </w:rPr>
            </w:pPr>
            <w:r w:rsidRPr="0036083D">
              <w:rPr>
                <w:rFonts w:ascii="Arial" w:hAnsi="Arial" w:cs="Arial"/>
                <w:b/>
                <w:sz w:val="18"/>
                <w:szCs w:val="18"/>
              </w:rPr>
              <w:t>Average hours of electricity provided to localities served by beneficiaries.</w:t>
            </w:r>
          </w:p>
        </w:tc>
        <w:tc>
          <w:tcPr>
            <w:tcW w:w="360" w:type="dxa"/>
            <w:tcBorders>
              <w:top w:val="nil"/>
              <w:bottom w:val="nil"/>
            </w:tcBorders>
            <w:shd w:val="clear" w:color="auto" w:fill="auto"/>
            <w:vAlign w:val="center"/>
          </w:tcPr>
          <w:p w14:paraId="339B2379" w14:textId="77777777" w:rsidR="00243F8A" w:rsidRPr="0036083D" w:rsidRDefault="00243F8A" w:rsidP="0036083D">
            <w:pPr>
              <w:spacing w:line="276" w:lineRule="auto"/>
              <w:jc w:val="center"/>
              <w:rPr>
                <w:rFonts w:ascii="Arial" w:hAnsi="Arial" w:cs="Arial"/>
                <w:sz w:val="18"/>
                <w:szCs w:val="18"/>
              </w:rPr>
            </w:pPr>
          </w:p>
        </w:tc>
        <w:tc>
          <w:tcPr>
            <w:tcW w:w="360" w:type="dxa"/>
            <w:tcBorders>
              <w:top w:val="nil"/>
              <w:bottom w:val="nil"/>
            </w:tcBorders>
            <w:shd w:val="clear" w:color="auto" w:fill="auto"/>
            <w:vAlign w:val="center"/>
          </w:tcPr>
          <w:p w14:paraId="61ACB066"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360" w:type="dxa"/>
            <w:tcBorders>
              <w:top w:val="nil"/>
              <w:bottom w:val="nil"/>
            </w:tcBorders>
            <w:shd w:val="clear" w:color="auto" w:fill="auto"/>
            <w:vAlign w:val="center"/>
          </w:tcPr>
          <w:p w14:paraId="38F811EC" w14:textId="77777777" w:rsidR="00243F8A" w:rsidRPr="0036083D" w:rsidRDefault="00243F8A" w:rsidP="0036083D">
            <w:pPr>
              <w:spacing w:line="276" w:lineRule="auto"/>
              <w:jc w:val="center"/>
              <w:rPr>
                <w:rFonts w:ascii="Arial" w:hAnsi="Arial" w:cs="Arial"/>
                <w:sz w:val="18"/>
                <w:szCs w:val="18"/>
              </w:rPr>
            </w:pPr>
          </w:p>
        </w:tc>
        <w:tc>
          <w:tcPr>
            <w:tcW w:w="360" w:type="dxa"/>
            <w:tcBorders>
              <w:top w:val="nil"/>
              <w:bottom w:val="nil"/>
            </w:tcBorders>
            <w:shd w:val="clear" w:color="auto" w:fill="auto"/>
            <w:vAlign w:val="center"/>
          </w:tcPr>
          <w:p w14:paraId="1FD44E8C"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360" w:type="dxa"/>
            <w:tcBorders>
              <w:top w:val="nil"/>
              <w:bottom w:val="nil"/>
            </w:tcBorders>
            <w:shd w:val="clear" w:color="auto" w:fill="auto"/>
            <w:vAlign w:val="center"/>
          </w:tcPr>
          <w:p w14:paraId="2ED61319" w14:textId="77777777" w:rsidR="00243F8A" w:rsidRPr="0036083D" w:rsidRDefault="00243F8A" w:rsidP="0036083D">
            <w:pPr>
              <w:spacing w:line="276" w:lineRule="auto"/>
              <w:jc w:val="center"/>
              <w:rPr>
                <w:rFonts w:ascii="Arial" w:hAnsi="Arial" w:cs="Arial"/>
                <w:sz w:val="18"/>
                <w:szCs w:val="18"/>
              </w:rPr>
            </w:pPr>
          </w:p>
        </w:tc>
        <w:tc>
          <w:tcPr>
            <w:tcW w:w="360" w:type="dxa"/>
            <w:tcBorders>
              <w:top w:val="nil"/>
              <w:bottom w:val="nil"/>
            </w:tcBorders>
            <w:shd w:val="clear" w:color="auto" w:fill="auto"/>
            <w:vAlign w:val="center"/>
          </w:tcPr>
          <w:p w14:paraId="65A76F6F"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360" w:type="dxa"/>
            <w:tcBorders>
              <w:top w:val="nil"/>
              <w:bottom w:val="nil"/>
            </w:tcBorders>
            <w:shd w:val="clear" w:color="auto" w:fill="auto"/>
            <w:vAlign w:val="center"/>
          </w:tcPr>
          <w:p w14:paraId="636AEEDB" w14:textId="77777777" w:rsidR="00243F8A" w:rsidRPr="0036083D" w:rsidRDefault="00243F8A" w:rsidP="0036083D">
            <w:pPr>
              <w:spacing w:line="276" w:lineRule="auto"/>
              <w:jc w:val="center"/>
              <w:rPr>
                <w:rFonts w:ascii="Arial" w:hAnsi="Arial" w:cs="Arial"/>
                <w:sz w:val="18"/>
                <w:szCs w:val="18"/>
              </w:rPr>
            </w:pPr>
          </w:p>
        </w:tc>
        <w:tc>
          <w:tcPr>
            <w:tcW w:w="360" w:type="dxa"/>
            <w:tcBorders>
              <w:top w:val="nil"/>
              <w:bottom w:val="nil"/>
            </w:tcBorders>
            <w:shd w:val="clear" w:color="auto" w:fill="auto"/>
            <w:vAlign w:val="center"/>
          </w:tcPr>
          <w:p w14:paraId="185A393A"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1170" w:type="dxa"/>
            <w:gridSpan w:val="2"/>
            <w:tcBorders>
              <w:top w:val="nil"/>
              <w:bottom w:val="nil"/>
            </w:tcBorders>
            <w:vAlign w:val="center"/>
          </w:tcPr>
          <w:p w14:paraId="58522E9A" w14:textId="77777777" w:rsidR="00243F8A" w:rsidRPr="0036083D" w:rsidRDefault="00243F8A" w:rsidP="0036083D">
            <w:pPr>
              <w:spacing w:line="276" w:lineRule="auto"/>
              <w:jc w:val="center"/>
              <w:rPr>
                <w:rFonts w:ascii="Arial" w:hAnsi="Arial" w:cs="Arial"/>
                <w:sz w:val="16"/>
                <w:szCs w:val="16"/>
              </w:rPr>
            </w:pPr>
            <w:proofErr w:type="spellStart"/>
            <w:r w:rsidRPr="0036083D">
              <w:rPr>
                <w:rFonts w:ascii="Arial" w:hAnsi="Arial" w:cs="Arial"/>
                <w:sz w:val="16"/>
                <w:szCs w:val="16"/>
              </w:rPr>
              <w:t>Bancóldex</w:t>
            </w:r>
            <w:proofErr w:type="spellEnd"/>
          </w:p>
        </w:tc>
        <w:tc>
          <w:tcPr>
            <w:tcW w:w="900" w:type="dxa"/>
            <w:tcBorders>
              <w:top w:val="nil"/>
              <w:bottom w:val="nil"/>
            </w:tcBorders>
            <w:vAlign w:val="center"/>
          </w:tcPr>
          <w:p w14:paraId="63D29D30" w14:textId="77777777" w:rsidR="00243F8A" w:rsidRPr="0036083D" w:rsidRDefault="00243F8A" w:rsidP="0036083D">
            <w:pPr>
              <w:spacing w:line="276" w:lineRule="auto"/>
              <w:jc w:val="center"/>
              <w:rPr>
                <w:rFonts w:ascii="Arial" w:hAnsi="Arial" w:cs="Arial"/>
                <w:sz w:val="16"/>
                <w:szCs w:val="16"/>
              </w:rPr>
            </w:pPr>
            <w:r w:rsidRPr="0036083D">
              <w:rPr>
                <w:rFonts w:ascii="Arial" w:hAnsi="Arial" w:cs="Arial"/>
                <w:sz w:val="16"/>
                <w:szCs w:val="16"/>
              </w:rPr>
              <w:t>2,500</w:t>
            </w:r>
          </w:p>
        </w:tc>
      </w:tr>
      <w:tr w:rsidR="00243F8A" w:rsidRPr="0036083D" w14:paraId="15F1CD3B" w14:textId="77777777" w:rsidTr="00507D0F">
        <w:tc>
          <w:tcPr>
            <w:tcW w:w="3708" w:type="dxa"/>
            <w:tcBorders>
              <w:top w:val="nil"/>
              <w:bottom w:val="nil"/>
            </w:tcBorders>
            <w:vAlign w:val="center"/>
          </w:tcPr>
          <w:p w14:paraId="70E5244F" w14:textId="7C226668" w:rsidR="00243F8A" w:rsidRPr="0036083D" w:rsidRDefault="00243F8A" w:rsidP="001E10D5">
            <w:pPr>
              <w:pStyle w:val="ListParagraph"/>
              <w:numPr>
                <w:ilvl w:val="0"/>
                <w:numId w:val="19"/>
              </w:numPr>
              <w:spacing w:after="120" w:line="276" w:lineRule="auto"/>
              <w:ind w:left="180" w:hanging="180"/>
              <w:rPr>
                <w:rFonts w:ascii="Arial" w:hAnsi="Arial" w:cs="Arial"/>
                <w:b/>
                <w:sz w:val="18"/>
                <w:szCs w:val="18"/>
              </w:rPr>
            </w:pPr>
            <w:proofErr w:type="gramStart"/>
            <w:r w:rsidRPr="0036083D">
              <w:rPr>
                <w:rFonts w:ascii="Arial" w:hAnsi="Arial" w:cs="Arial"/>
                <w:b/>
                <w:sz w:val="18"/>
                <w:szCs w:val="18"/>
              </w:rPr>
              <w:t>RE generation by project beneficiary firms compared to non-beneficiaries.</w:t>
            </w:r>
            <w:proofErr w:type="gramEnd"/>
            <w:r w:rsidR="001E10D5">
              <w:rPr>
                <w:rFonts w:ascii="Arial" w:hAnsi="Arial" w:cs="Arial"/>
                <w:b/>
                <w:sz w:val="18"/>
                <w:szCs w:val="18"/>
              </w:rPr>
              <w:t xml:space="preserve"> </w:t>
            </w:r>
            <w:proofErr w:type="gramStart"/>
            <w:r w:rsidR="001E10D5">
              <w:rPr>
                <w:rFonts w:ascii="Arial" w:hAnsi="Arial" w:cs="Arial"/>
                <w:b/>
                <w:sz w:val="18"/>
                <w:szCs w:val="18"/>
              </w:rPr>
              <w:t>(Includes annual surveys to non-beneficiaries when government data is not available).</w:t>
            </w:r>
            <w:proofErr w:type="gramEnd"/>
            <w:r w:rsidR="006E6446">
              <w:rPr>
                <w:rFonts w:ascii="Arial" w:hAnsi="Arial" w:cs="Arial"/>
                <w:b/>
                <w:sz w:val="18"/>
                <w:szCs w:val="18"/>
              </w:rPr>
              <w:t xml:space="preserve"> </w:t>
            </w:r>
          </w:p>
        </w:tc>
        <w:tc>
          <w:tcPr>
            <w:tcW w:w="360" w:type="dxa"/>
            <w:tcBorders>
              <w:top w:val="nil"/>
              <w:bottom w:val="nil"/>
            </w:tcBorders>
            <w:shd w:val="clear" w:color="auto" w:fill="auto"/>
            <w:vAlign w:val="center"/>
          </w:tcPr>
          <w:p w14:paraId="21AEE4AF" w14:textId="77777777" w:rsidR="00243F8A" w:rsidRPr="0036083D" w:rsidRDefault="00243F8A" w:rsidP="0036083D">
            <w:pPr>
              <w:spacing w:line="276" w:lineRule="auto"/>
              <w:jc w:val="center"/>
              <w:rPr>
                <w:rFonts w:ascii="Arial" w:hAnsi="Arial" w:cs="Arial"/>
                <w:sz w:val="18"/>
                <w:szCs w:val="18"/>
              </w:rPr>
            </w:pPr>
          </w:p>
        </w:tc>
        <w:tc>
          <w:tcPr>
            <w:tcW w:w="360" w:type="dxa"/>
            <w:tcBorders>
              <w:top w:val="nil"/>
              <w:bottom w:val="nil"/>
            </w:tcBorders>
            <w:shd w:val="clear" w:color="auto" w:fill="auto"/>
            <w:vAlign w:val="center"/>
          </w:tcPr>
          <w:p w14:paraId="4D87DC53"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360" w:type="dxa"/>
            <w:tcBorders>
              <w:top w:val="nil"/>
              <w:bottom w:val="nil"/>
            </w:tcBorders>
            <w:shd w:val="clear" w:color="auto" w:fill="auto"/>
            <w:vAlign w:val="center"/>
          </w:tcPr>
          <w:p w14:paraId="701C3251" w14:textId="77777777" w:rsidR="00243F8A" w:rsidRPr="0036083D" w:rsidRDefault="00243F8A" w:rsidP="0036083D">
            <w:pPr>
              <w:spacing w:line="276" w:lineRule="auto"/>
              <w:jc w:val="center"/>
              <w:rPr>
                <w:rFonts w:ascii="Arial" w:hAnsi="Arial" w:cs="Arial"/>
                <w:sz w:val="18"/>
                <w:szCs w:val="18"/>
              </w:rPr>
            </w:pPr>
          </w:p>
        </w:tc>
        <w:tc>
          <w:tcPr>
            <w:tcW w:w="360" w:type="dxa"/>
            <w:tcBorders>
              <w:top w:val="nil"/>
              <w:bottom w:val="nil"/>
            </w:tcBorders>
            <w:shd w:val="clear" w:color="auto" w:fill="auto"/>
            <w:vAlign w:val="center"/>
          </w:tcPr>
          <w:p w14:paraId="04C34949"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360" w:type="dxa"/>
            <w:tcBorders>
              <w:top w:val="nil"/>
              <w:bottom w:val="nil"/>
            </w:tcBorders>
            <w:shd w:val="clear" w:color="auto" w:fill="auto"/>
            <w:vAlign w:val="center"/>
          </w:tcPr>
          <w:p w14:paraId="52DF32BC" w14:textId="77777777" w:rsidR="00243F8A" w:rsidRPr="0036083D" w:rsidRDefault="00243F8A" w:rsidP="0036083D">
            <w:pPr>
              <w:spacing w:line="276" w:lineRule="auto"/>
              <w:jc w:val="center"/>
              <w:rPr>
                <w:rFonts w:ascii="Arial" w:hAnsi="Arial" w:cs="Arial"/>
                <w:sz w:val="18"/>
                <w:szCs w:val="18"/>
              </w:rPr>
            </w:pPr>
          </w:p>
        </w:tc>
        <w:tc>
          <w:tcPr>
            <w:tcW w:w="360" w:type="dxa"/>
            <w:tcBorders>
              <w:top w:val="nil"/>
              <w:bottom w:val="nil"/>
            </w:tcBorders>
            <w:shd w:val="clear" w:color="auto" w:fill="auto"/>
            <w:vAlign w:val="center"/>
          </w:tcPr>
          <w:p w14:paraId="57AA3F7F"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360" w:type="dxa"/>
            <w:tcBorders>
              <w:top w:val="nil"/>
              <w:bottom w:val="nil"/>
            </w:tcBorders>
            <w:shd w:val="clear" w:color="auto" w:fill="auto"/>
            <w:vAlign w:val="center"/>
          </w:tcPr>
          <w:p w14:paraId="3952C5E0" w14:textId="77777777" w:rsidR="00243F8A" w:rsidRPr="0036083D" w:rsidRDefault="00243F8A" w:rsidP="0036083D">
            <w:pPr>
              <w:spacing w:line="276" w:lineRule="auto"/>
              <w:jc w:val="center"/>
              <w:rPr>
                <w:rFonts w:ascii="Arial" w:hAnsi="Arial" w:cs="Arial"/>
                <w:sz w:val="18"/>
                <w:szCs w:val="18"/>
              </w:rPr>
            </w:pPr>
          </w:p>
        </w:tc>
        <w:tc>
          <w:tcPr>
            <w:tcW w:w="360" w:type="dxa"/>
            <w:tcBorders>
              <w:top w:val="nil"/>
              <w:bottom w:val="nil"/>
            </w:tcBorders>
            <w:shd w:val="clear" w:color="auto" w:fill="auto"/>
            <w:vAlign w:val="center"/>
          </w:tcPr>
          <w:p w14:paraId="377DFAF1"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1170" w:type="dxa"/>
            <w:gridSpan w:val="2"/>
            <w:tcBorders>
              <w:top w:val="nil"/>
              <w:bottom w:val="nil"/>
            </w:tcBorders>
            <w:vAlign w:val="center"/>
          </w:tcPr>
          <w:p w14:paraId="7710BDD9" w14:textId="77777777" w:rsidR="00243F8A" w:rsidRPr="0036083D" w:rsidRDefault="00243F8A" w:rsidP="0036083D">
            <w:pPr>
              <w:spacing w:line="276" w:lineRule="auto"/>
              <w:jc w:val="center"/>
              <w:rPr>
                <w:rFonts w:ascii="Arial" w:hAnsi="Arial" w:cs="Arial"/>
                <w:sz w:val="16"/>
                <w:szCs w:val="16"/>
              </w:rPr>
            </w:pPr>
            <w:proofErr w:type="spellStart"/>
            <w:r w:rsidRPr="0036083D">
              <w:rPr>
                <w:rFonts w:ascii="Arial" w:hAnsi="Arial" w:cs="Arial"/>
                <w:sz w:val="16"/>
                <w:szCs w:val="16"/>
              </w:rPr>
              <w:t>Bancóldex</w:t>
            </w:r>
            <w:proofErr w:type="spellEnd"/>
          </w:p>
        </w:tc>
        <w:tc>
          <w:tcPr>
            <w:tcW w:w="900" w:type="dxa"/>
            <w:tcBorders>
              <w:top w:val="nil"/>
              <w:bottom w:val="nil"/>
            </w:tcBorders>
            <w:vAlign w:val="center"/>
          </w:tcPr>
          <w:p w14:paraId="585026EA" w14:textId="77777777" w:rsidR="00243F8A" w:rsidRPr="0036083D" w:rsidRDefault="00243F8A" w:rsidP="0036083D">
            <w:pPr>
              <w:spacing w:line="276" w:lineRule="auto"/>
              <w:jc w:val="center"/>
              <w:rPr>
                <w:rFonts w:ascii="Arial" w:hAnsi="Arial" w:cs="Arial"/>
                <w:sz w:val="16"/>
                <w:szCs w:val="16"/>
              </w:rPr>
            </w:pPr>
            <w:r w:rsidRPr="0036083D">
              <w:rPr>
                <w:rFonts w:ascii="Arial" w:hAnsi="Arial" w:cs="Arial"/>
                <w:sz w:val="16"/>
                <w:szCs w:val="16"/>
              </w:rPr>
              <w:t>2,500</w:t>
            </w:r>
          </w:p>
        </w:tc>
      </w:tr>
      <w:tr w:rsidR="00243F8A" w:rsidRPr="0036083D" w14:paraId="17DBF549" w14:textId="77777777" w:rsidTr="00507D0F">
        <w:tc>
          <w:tcPr>
            <w:tcW w:w="3708" w:type="dxa"/>
            <w:vAlign w:val="center"/>
          </w:tcPr>
          <w:p w14:paraId="785B0B53" w14:textId="77777777" w:rsidR="00243F8A" w:rsidRPr="0036083D" w:rsidRDefault="00243F8A" w:rsidP="0036083D">
            <w:pPr>
              <w:spacing w:after="120" w:line="276" w:lineRule="auto"/>
              <w:rPr>
                <w:rFonts w:ascii="Arial" w:hAnsi="Arial" w:cs="Arial"/>
                <w:b/>
                <w:sz w:val="18"/>
                <w:szCs w:val="18"/>
              </w:rPr>
            </w:pPr>
            <w:r w:rsidRPr="0036083D">
              <w:rPr>
                <w:rFonts w:ascii="Arial" w:hAnsi="Arial" w:cs="Arial"/>
                <w:b/>
                <w:sz w:val="18"/>
                <w:szCs w:val="18"/>
              </w:rPr>
              <w:t>Final report (input for PCR)</w:t>
            </w:r>
          </w:p>
        </w:tc>
        <w:tc>
          <w:tcPr>
            <w:tcW w:w="360" w:type="dxa"/>
            <w:shd w:val="clear" w:color="auto" w:fill="auto"/>
            <w:vAlign w:val="center"/>
          </w:tcPr>
          <w:p w14:paraId="57CE6683" w14:textId="77777777" w:rsidR="00243F8A" w:rsidRPr="0036083D" w:rsidRDefault="00243F8A" w:rsidP="0036083D">
            <w:pPr>
              <w:spacing w:line="276" w:lineRule="auto"/>
              <w:jc w:val="center"/>
              <w:rPr>
                <w:rFonts w:ascii="Arial" w:hAnsi="Arial" w:cs="Arial"/>
                <w:b/>
                <w:sz w:val="18"/>
                <w:szCs w:val="18"/>
              </w:rPr>
            </w:pPr>
          </w:p>
        </w:tc>
        <w:tc>
          <w:tcPr>
            <w:tcW w:w="360" w:type="dxa"/>
            <w:shd w:val="clear" w:color="auto" w:fill="auto"/>
            <w:vAlign w:val="center"/>
          </w:tcPr>
          <w:p w14:paraId="243F9711" w14:textId="77777777" w:rsidR="00243F8A" w:rsidRPr="0036083D" w:rsidRDefault="00243F8A" w:rsidP="0036083D">
            <w:pPr>
              <w:spacing w:line="276" w:lineRule="auto"/>
              <w:jc w:val="center"/>
              <w:rPr>
                <w:rFonts w:ascii="Arial" w:hAnsi="Arial" w:cs="Arial"/>
                <w:b/>
                <w:sz w:val="18"/>
                <w:szCs w:val="18"/>
              </w:rPr>
            </w:pPr>
          </w:p>
        </w:tc>
        <w:tc>
          <w:tcPr>
            <w:tcW w:w="360" w:type="dxa"/>
            <w:shd w:val="clear" w:color="auto" w:fill="auto"/>
            <w:vAlign w:val="center"/>
          </w:tcPr>
          <w:p w14:paraId="36933B19" w14:textId="77777777" w:rsidR="00243F8A" w:rsidRPr="0036083D" w:rsidRDefault="00243F8A" w:rsidP="0036083D">
            <w:pPr>
              <w:spacing w:line="276" w:lineRule="auto"/>
              <w:jc w:val="center"/>
              <w:rPr>
                <w:rFonts w:ascii="Arial" w:hAnsi="Arial" w:cs="Arial"/>
                <w:b/>
                <w:sz w:val="18"/>
                <w:szCs w:val="18"/>
              </w:rPr>
            </w:pPr>
          </w:p>
        </w:tc>
        <w:tc>
          <w:tcPr>
            <w:tcW w:w="360" w:type="dxa"/>
            <w:shd w:val="clear" w:color="auto" w:fill="auto"/>
            <w:vAlign w:val="center"/>
          </w:tcPr>
          <w:p w14:paraId="494EF257" w14:textId="77777777" w:rsidR="00243F8A" w:rsidRPr="0036083D" w:rsidRDefault="00243F8A" w:rsidP="0036083D">
            <w:pPr>
              <w:spacing w:line="276" w:lineRule="auto"/>
              <w:jc w:val="center"/>
              <w:rPr>
                <w:rFonts w:ascii="Arial" w:hAnsi="Arial" w:cs="Arial"/>
                <w:b/>
                <w:sz w:val="18"/>
                <w:szCs w:val="18"/>
              </w:rPr>
            </w:pPr>
          </w:p>
        </w:tc>
        <w:tc>
          <w:tcPr>
            <w:tcW w:w="360" w:type="dxa"/>
            <w:shd w:val="clear" w:color="auto" w:fill="auto"/>
            <w:vAlign w:val="center"/>
          </w:tcPr>
          <w:p w14:paraId="74B3DFA6" w14:textId="77777777" w:rsidR="00243F8A" w:rsidRPr="0036083D" w:rsidRDefault="00243F8A" w:rsidP="0036083D">
            <w:pPr>
              <w:spacing w:line="276" w:lineRule="auto"/>
              <w:jc w:val="center"/>
              <w:rPr>
                <w:rFonts w:ascii="Arial" w:hAnsi="Arial" w:cs="Arial"/>
                <w:b/>
                <w:sz w:val="18"/>
                <w:szCs w:val="18"/>
              </w:rPr>
            </w:pPr>
          </w:p>
        </w:tc>
        <w:tc>
          <w:tcPr>
            <w:tcW w:w="360" w:type="dxa"/>
            <w:shd w:val="clear" w:color="auto" w:fill="auto"/>
            <w:vAlign w:val="center"/>
          </w:tcPr>
          <w:p w14:paraId="3397E0A9" w14:textId="77777777" w:rsidR="00243F8A" w:rsidRPr="0036083D" w:rsidRDefault="00243F8A" w:rsidP="0036083D">
            <w:pPr>
              <w:spacing w:line="276" w:lineRule="auto"/>
              <w:jc w:val="center"/>
              <w:rPr>
                <w:rFonts w:ascii="Arial" w:hAnsi="Arial" w:cs="Arial"/>
                <w:b/>
                <w:sz w:val="18"/>
                <w:szCs w:val="18"/>
              </w:rPr>
            </w:pPr>
          </w:p>
        </w:tc>
        <w:tc>
          <w:tcPr>
            <w:tcW w:w="360" w:type="dxa"/>
            <w:shd w:val="clear" w:color="auto" w:fill="auto"/>
            <w:vAlign w:val="center"/>
          </w:tcPr>
          <w:p w14:paraId="649288E3" w14:textId="77777777" w:rsidR="00243F8A" w:rsidRPr="0036083D" w:rsidRDefault="00243F8A" w:rsidP="0036083D">
            <w:pPr>
              <w:spacing w:line="276" w:lineRule="auto"/>
              <w:jc w:val="center"/>
              <w:rPr>
                <w:rFonts w:ascii="Arial" w:hAnsi="Arial" w:cs="Arial"/>
                <w:b/>
                <w:sz w:val="18"/>
                <w:szCs w:val="18"/>
              </w:rPr>
            </w:pPr>
          </w:p>
        </w:tc>
        <w:tc>
          <w:tcPr>
            <w:tcW w:w="360" w:type="dxa"/>
            <w:shd w:val="clear" w:color="auto" w:fill="auto"/>
            <w:vAlign w:val="center"/>
          </w:tcPr>
          <w:p w14:paraId="649A4FF8"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1170" w:type="dxa"/>
            <w:gridSpan w:val="2"/>
            <w:vAlign w:val="center"/>
          </w:tcPr>
          <w:p w14:paraId="0EFABF54" w14:textId="77777777" w:rsidR="00243F8A" w:rsidRPr="0036083D" w:rsidRDefault="00243F8A" w:rsidP="0036083D">
            <w:pPr>
              <w:spacing w:line="276" w:lineRule="auto"/>
              <w:jc w:val="center"/>
              <w:rPr>
                <w:rFonts w:ascii="Arial" w:hAnsi="Arial" w:cs="Arial"/>
                <w:sz w:val="18"/>
                <w:szCs w:val="18"/>
              </w:rPr>
            </w:pPr>
            <w:proofErr w:type="spellStart"/>
            <w:r w:rsidRPr="0036083D">
              <w:rPr>
                <w:rFonts w:ascii="Arial" w:hAnsi="Arial" w:cs="Arial"/>
                <w:sz w:val="18"/>
                <w:szCs w:val="18"/>
              </w:rPr>
              <w:t>Bancóldex</w:t>
            </w:r>
            <w:proofErr w:type="spellEnd"/>
            <w:r w:rsidRPr="0036083D">
              <w:rPr>
                <w:rFonts w:ascii="Arial" w:hAnsi="Arial" w:cs="Arial"/>
                <w:sz w:val="18"/>
                <w:szCs w:val="18"/>
              </w:rPr>
              <w:t xml:space="preserve"> /IDB</w:t>
            </w:r>
          </w:p>
        </w:tc>
        <w:tc>
          <w:tcPr>
            <w:tcW w:w="900" w:type="dxa"/>
            <w:shd w:val="clear" w:color="auto" w:fill="auto"/>
            <w:vAlign w:val="center"/>
          </w:tcPr>
          <w:p w14:paraId="448AB203" w14:textId="77777777" w:rsidR="00243F8A" w:rsidRPr="0036083D" w:rsidRDefault="00243F8A" w:rsidP="0036083D">
            <w:pPr>
              <w:spacing w:line="276" w:lineRule="auto"/>
              <w:jc w:val="center"/>
              <w:rPr>
                <w:rFonts w:ascii="Arial" w:hAnsi="Arial" w:cs="Arial"/>
                <w:b/>
                <w:sz w:val="18"/>
                <w:szCs w:val="18"/>
              </w:rPr>
            </w:pPr>
            <w:r w:rsidRPr="0036083D">
              <w:rPr>
                <w:rFonts w:ascii="Arial" w:hAnsi="Arial" w:cs="Arial"/>
                <w:b/>
                <w:sz w:val="18"/>
                <w:szCs w:val="18"/>
              </w:rPr>
              <w:t>10,000</w:t>
            </w:r>
          </w:p>
        </w:tc>
      </w:tr>
      <w:tr w:rsidR="00243F8A" w:rsidRPr="0036083D" w14:paraId="6880B8BB" w14:textId="77777777" w:rsidTr="00507D0F">
        <w:tc>
          <w:tcPr>
            <w:tcW w:w="3708" w:type="dxa"/>
            <w:vAlign w:val="center"/>
          </w:tcPr>
          <w:p w14:paraId="6C5D9CFA" w14:textId="77777777" w:rsidR="00243F8A" w:rsidRPr="0036083D" w:rsidRDefault="00243F8A" w:rsidP="0036083D">
            <w:pPr>
              <w:spacing w:after="120" w:line="276" w:lineRule="auto"/>
              <w:rPr>
                <w:rFonts w:ascii="Arial" w:hAnsi="Arial" w:cs="Arial"/>
                <w:b/>
                <w:sz w:val="18"/>
                <w:szCs w:val="18"/>
              </w:rPr>
            </w:pPr>
            <w:r w:rsidRPr="0036083D">
              <w:rPr>
                <w:rFonts w:ascii="Arial" w:hAnsi="Arial" w:cs="Arial"/>
                <w:b/>
                <w:sz w:val="18"/>
                <w:szCs w:val="18"/>
              </w:rPr>
              <w:t>Data Projections and Analysis</w:t>
            </w:r>
          </w:p>
        </w:tc>
        <w:tc>
          <w:tcPr>
            <w:tcW w:w="360" w:type="dxa"/>
            <w:shd w:val="clear" w:color="auto" w:fill="auto"/>
            <w:vAlign w:val="center"/>
          </w:tcPr>
          <w:p w14:paraId="5E5C0A25" w14:textId="77777777" w:rsidR="00243F8A" w:rsidRPr="0036083D" w:rsidRDefault="00243F8A" w:rsidP="0036083D">
            <w:pPr>
              <w:spacing w:line="276" w:lineRule="auto"/>
              <w:jc w:val="center"/>
              <w:rPr>
                <w:rFonts w:ascii="Arial" w:hAnsi="Arial" w:cs="Arial"/>
                <w:b/>
                <w:sz w:val="18"/>
                <w:szCs w:val="18"/>
              </w:rPr>
            </w:pPr>
          </w:p>
        </w:tc>
        <w:tc>
          <w:tcPr>
            <w:tcW w:w="360" w:type="dxa"/>
            <w:shd w:val="clear" w:color="auto" w:fill="auto"/>
            <w:vAlign w:val="center"/>
          </w:tcPr>
          <w:p w14:paraId="0BFE19DE" w14:textId="77777777" w:rsidR="00243F8A" w:rsidRPr="0036083D" w:rsidRDefault="00243F8A" w:rsidP="0036083D">
            <w:pPr>
              <w:spacing w:line="276" w:lineRule="auto"/>
              <w:jc w:val="center"/>
              <w:rPr>
                <w:rFonts w:ascii="Arial" w:hAnsi="Arial" w:cs="Arial"/>
                <w:b/>
                <w:sz w:val="18"/>
                <w:szCs w:val="18"/>
              </w:rPr>
            </w:pPr>
          </w:p>
        </w:tc>
        <w:tc>
          <w:tcPr>
            <w:tcW w:w="360" w:type="dxa"/>
            <w:shd w:val="clear" w:color="auto" w:fill="auto"/>
            <w:vAlign w:val="center"/>
          </w:tcPr>
          <w:p w14:paraId="2E3306C2" w14:textId="77777777" w:rsidR="00243F8A" w:rsidRPr="0036083D" w:rsidRDefault="00243F8A" w:rsidP="0036083D">
            <w:pPr>
              <w:spacing w:line="276" w:lineRule="auto"/>
              <w:jc w:val="center"/>
              <w:rPr>
                <w:rFonts w:ascii="Arial" w:hAnsi="Arial" w:cs="Arial"/>
                <w:b/>
                <w:sz w:val="18"/>
                <w:szCs w:val="18"/>
              </w:rPr>
            </w:pPr>
          </w:p>
        </w:tc>
        <w:tc>
          <w:tcPr>
            <w:tcW w:w="360" w:type="dxa"/>
            <w:shd w:val="clear" w:color="auto" w:fill="auto"/>
            <w:vAlign w:val="center"/>
          </w:tcPr>
          <w:p w14:paraId="76970149" w14:textId="77777777" w:rsidR="00243F8A" w:rsidRPr="0036083D" w:rsidRDefault="00243F8A" w:rsidP="0036083D">
            <w:pPr>
              <w:spacing w:line="276" w:lineRule="auto"/>
              <w:jc w:val="center"/>
              <w:rPr>
                <w:rFonts w:ascii="Arial" w:hAnsi="Arial" w:cs="Arial"/>
                <w:b/>
                <w:sz w:val="18"/>
                <w:szCs w:val="18"/>
              </w:rPr>
            </w:pPr>
          </w:p>
        </w:tc>
        <w:tc>
          <w:tcPr>
            <w:tcW w:w="360" w:type="dxa"/>
            <w:shd w:val="clear" w:color="auto" w:fill="auto"/>
            <w:vAlign w:val="center"/>
          </w:tcPr>
          <w:p w14:paraId="1A19524C" w14:textId="77777777" w:rsidR="00243F8A" w:rsidRPr="0036083D" w:rsidRDefault="00243F8A" w:rsidP="0036083D">
            <w:pPr>
              <w:spacing w:line="276" w:lineRule="auto"/>
              <w:jc w:val="center"/>
              <w:rPr>
                <w:rFonts w:ascii="Arial" w:hAnsi="Arial" w:cs="Arial"/>
                <w:b/>
                <w:sz w:val="18"/>
                <w:szCs w:val="18"/>
              </w:rPr>
            </w:pPr>
          </w:p>
        </w:tc>
        <w:tc>
          <w:tcPr>
            <w:tcW w:w="360" w:type="dxa"/>
            <w:shd w:val="clear" w:color="auto" w:fill="auto"/>
            <w:vAlign w:val="center"/>
          </w:tcPr>
          <w:p w14:paraId="5876DBFD" w14:textId="77777777" w:rsidR="00243F8A" w:rsidRPr="0036083D" w:rsidRDefault="00243F8A" w:rsidP="0036083D">
            <w:pPr>
              <w:spacing w:line="276" w:lineRule="auto"/>
              <w:jc w:val="center"/>
              <w:rPr>
                <w:rFonts w:ascii="Arial" w:hAnsi="Arial" w:cs="Arial"/>
                <w:b/>
                <w:sz w:val="18"/>
                <w:szCs w:val="18"/>
              </w:rPr>
            </w:pPr>
          </w:p>
        </w:tc>
        <w:tc>
          <w:tcPr>
            <w:tcW w:w="360" w:type="dxa"/>
            <w:shd w:val="clear" w:color="auto" w:fill="auto"/>
            <w:vAlign w:val="center"/>
          </w:tcPr>
          <w:p w14:paraId="62E26375" w14:textId="77777777" w:rsidR="00243F8A" w:rsidRPr="0036083D" w:rsidRDefault="00243F8A" w:rsidP="0036083D">
            <w:pPr>
              <w:spacing w:line="276" w:lineRule="auto"/>
              <w:jc w:val="center"/>
              <w:rPr>
                <w:rFonts w:ascii="Arial" w:hAnsi="Arial" w:cs="Arial"/>
                <w:b/>
                <w:sz w:val="18"/>
                <w:szCs w:val="18"/>
              </w:rPr>
            </w:pPr>
          </w:p>
        </w:tc>
        <w:tc>
          <w:tcPr>
            <w:tcW w:w="360" w:type="dxa"/>
            <w:shd w:val="clear" w:color="auto" w:fill="auto"/>
            <w:vAlign w:val="center"/>
          </w:tcPr>
          <w:p w14:paraId="220E6496"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1170" w:type="dxa"/>
            <w:gridSpan w:val="2"/>
            <w:vAlign w:val="center"/>
          </w:tcPr>
          <w:p w14:paraId="1D35833F"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Consultant</w:t>
            </w:r>
          </w:p>
        </w:tc>
        <w:tc>
          <w:tcPr>
            <w:tcW w:w="900" w:type="dxa"/>
            <w:shd w:val="clear" w:color="auto" w:fill="auto"/>
            <w:vAlign w:val="center"/>
          </w:tcPr>
          <w:p w14:paraId="28F8B692" w14:textId="77777777" w:rsidR="00243F8A" w:rsidRPr="0036083D" w:rsidRDefault="00243F8A" w:rsidP="0036083D">
            <w:pPr>
              <w:spacing w:line="276" w:lineRule="auto"/>
              <w:jc w:val="center"/>
              <w:rPr>
                <w:rFonts w:ascii="Arial" w:hAnsi="Arial" w:cs="Arial"/>
                <w:b/>
                <w:sz w:val="18"/>
                <w:szCs w:val="18"/>
              </w:rPr>
            </w:pPr>
            <w:r w:rsidRPr="0036083D">
              <w:rPr>
                <w:rFonts w:ascii="Arial" w:hAnsi="Arial" w:cs="Arial"/>
                <w:b/>
                <w:sz w:val="18"/>
                <w:szCs w:val="18"/>
              </w:rPr>
              <w:t>5,000</w:t>
            </w:r>
          </w:p>
        </w:tc>
      </w:tr>
      <w:tr w:rsidR="00243F8A" w:rsidRPr="0036083D" w14:paraId="1F3FC3FB" w14:textId="77777777" w:rsidTr="00507D0F">
        <w:tc>
          <w:tcPr>
            <w:tcW w:w="3708" w:type="dxa"/>
            <w:tcBorders>
              <w:bottom w:val="single" w:sz="4" w:space="0" w:color="auto"/>
            </w:tcBorders>
            <w:vAlign w:val="center"/>
          </w:tcPr>
          <w:p w14:paraId="2D3BD8E4" w14:textId="77777777" w:rsidR="00243F8A" w:rsidRPr="0036083D" w:rsidRDefault="00243F8A" w:rsidP="0036083D">
            <w:pPr>
              <w:spacing w:after="120" w:line="276" w:lineRule="auto"/>
              <w:rPr>
                <w:rFonts w:ascii="Arial" w:hAnsi="Arial" w:cs="Arial"/>
                <w:b/>
                <w:sz w:val="18"/>
                <w:szCs w:val="18"/>
              </w:rPr>
            </w:pPr>
            <w:r w:rsidRPr="0036083D">
              <w:rPr>
                <w:rFonts w:ascii="Arial" w:hAnsi="Arial" w:cs="Arial"/>
                <w:b/>
                <w:sz w:val="18"/>
                <w:szCs w:val="18"/>
              </w:rPr>
              <w:t>Final Evaluation: Cost-Benefit Analysis</w:t>
            </w:r>
          </w:p>
        </w:tc>
        <w:tc>
          <w:tcPr>
            <w:tcW w:w="360" w:type="dxa"/>
            <w:tcBorders>
              <w:bottom w:val="single" w:sz="4" w:space="0" w:color="auto"/>
            </w:tcBorders>
            <w:shd w:val="clear" w:color="auto" w:fill="auto"/>
            <w:vAlign w:val="center"/>
          </w:tcPr>
          <w:p w14:paraId="6BFC7F70" w14:textId="77777777" w:rsidR="00243F8A" w:rsidRPr="0036083D" w:rsidRDefault="00243F8A" w:rsidP="0036083D">
            <w:pPr>
              <w:spacing w:line="276" w:lineRule="auto"/>
              <w:jc w:val="center"/>
              <w:rPr>
                <w:rFonts w:ascii="Arial" w:hAnsi="Arial" w:cs="Arial"/>
                <w:b/>
                <w:sz w:val="18"/>
                <w:szCs w:val="18"/>
              </w:rPr>
            </w:pPr>
          </w:p>
        </w:tc>
        <w:tc>
          <w:tcPr>
            <w:tcW w:w="360" w:type="dxa"/>
            <w:tcBorders>
              <w:bottom w:val="single" w:sz="4" w:space="0" w:color="auto"/>
            </w:tcBorders>
            <w:shd w:val="clear" w:color="auto" w:fill="auto"/>
            <w:vAlign w:val="center"/>
          </w:tcPr>
          <w:p w14:paraId="50B1D902" w14:textId="77777777" w:rsidR="00243F8A" w:rsidRPr="0036083D" w:rsidRDefault="00243F8A" w:rsidP="0036083D">
            <w:pPr>
              <w:spacing w:line="276" w:lineRule="auto"/>
              <w:jc w:val="center"/>
              <w:rPr>
                <w:rFonts w:ascii="Arial" w:hAnsi="Arial" w:cs="Arial"/>
                <w:b/>
                <w:sz w:val="18"/>
                <w:szCs w:val="18"/>
              </w:rPr>
            </w:pPr>
          </w:p>
        </w:tc>
        <w:tc>
          <w:tcPr>
            <w:tcW w:w="360" w:type="dxa"/>
            <w:tcBorders>
              <w:bottom w:val="single" w:sz="4" w:space="0" w:color="auto"/>
            </w:tcBorders>
            <w:shd w:val="clear" w:color="auto" w:fill="auto"/>
            <w:vAlign w:val="center"/>
          </w:tcPr>
          <w:p w14:paraId="51DEFC2A" w14:textId="77777777" w:rsidR="00243F8A" w:rsidRPr="0036083D" w:rsidRDefault="00243F8A" w:rsidP="0036083D">
            <w:pPr>
              <w:spacing w:line="276" w:lineRule="auto"/>
              <w:jc w:val="center"/>
              <w:rPr>
                <w:rFonts w:ascii="Arial" w:hAnsi="Arial" w:cs="Arial"/>
                <w:b/>
                <w:sz w:val="18"/>
                <w:szCs w:val="18"/>
              </w:rPr>
            </w:pPr>
          </w:p>
        </w:tc>
        <w:tc>
          <w:tcPr>
            <w:tcW w:w="360" w:type="dxa"/>
            <w:tcBorders>
              <w:bottom w:val="single" w:sz="4" w:space="0" w:color="auto"/>
            </w:tcBorders>
            <w:shd w:val="clear" w:color="auto" w:fill="auto"/>
            <w:vAlign w:val="center"/>
          </w:tcPr>
          <w:p w14:paraId="727CBA4F" w14:textId="77777777" w:rsidR="00243F8A" w:rsidRPr="0036083D" w:rsidRDefault="00243F8A" w:rsidP="0036083D">
            <w:pPr>
              <w:spacing w:line="276" w:lineRule="auto"/>
              <w:jc w:val="center"/>
              <w:rPr>
                <w:rFonts w:ascii="Arial" w:hAnsi="Arial" w:cs="Arial"/>
                <w:b/>
                <w:sz w:val="18"/>
                <w:szCs w:val="18"/>
              </w:rPr>
            </w:pPr>
          </w:p>
        </w:tc>
        <w:tc>
          <w:tcPr>
            <w:tcW w:w="360" w:type="dxa"/>
            <w:tcBorders>
              <w:bottom w:val="single" w:sz="4" w:space="0" w:color="auto"/>
            </w:tcBorders>
            <w:shd w:val="clear" w:color="auto" w:fill="auto"/>
            <w:vAlign w:val="center"/>
          </w:tcPr>
          <w:p w14:paraId="36046DD9" w14:textId="77777777" w:rsidR="00243F8A" w:rsidRPr="0036083D" w:rsidRDefault="00243F8A" w:rsidP="0036083D">
            <w:pPr>
              <w:spacing w:line="276" w:lineRule="auto"/>
              <w:jc w:val="center"/>
              <w:rPr>
                <w:rFonts w:ascii="Arial" w:hAnsi="Arial" w:cs="Arial"/>
                <w:b/>
                <w:sz w:val="18"/>
                <w:szCs w:val="18"/>
              </w:rPr>
            </w:pPr>
          </w:p>
        </w:tc>
        <w:tc>
          <w:tcPr>
            <w:tcW w:w="360" w:type="dxa"/>
            <w:tcBorders>
              <w:bottom w:val="single" w:sz="4" w:space="0" w:color="auto"/>
            </w:tcBorders>
            <w:shd w:val="clear" w:color="auto" w:fill="auto"/>
            <w:vAlign w:val="center"/>
          </w:tcPr>
          <w:p w14:paraId="62F6EF21" w14:textId="77777777" w:rsidR="00243F8A" w:rsidRPr="0036083D" w:rsidRDefault="00243F8A" w:rsidP="0036083D">
            <w:pPr>
              <w:spacing w:line="276" w:lineRule="auto"/>
              <w:jc w:val="center"/>
              <w:rPr>
                <w:rFonts w:ascii="Arial" w:hAnsi="Arial" w:cs="Arial"/>
                <w:b/>
                <w:sz w:val="18"/>
                <w:szCs w:val="18"/>
              </w:rPr>
            </w:pPr>
          </w:p>
        </w:tc>
        <w:tc>
          <w:tcPr>
            <w:tcW w:w="360" w:type="dxa"/>
            <w:tcBorders>
              <w:bottom w:val="single" w:sz="4" w:space="0" w:color="auto"/>
            </w:tcBorders>
            <w:shd w:val="clear" w:color="auto" w:fill="auto"/>
            <w:vAlign w:val="center"/>
          </w:tcPr>
          <w:p w14:paraId="3640A1E6" w14:textId="77777777" w:rsidR="00243F8A" w:rsidRPr="0036083D" w:rsidRDefault="00243F8A" w:rsidP="0036083D">
            <w:pPr>
              <w:spacing w:line="276" w:lineRule="auto"/>
              <w:jc w:val="center"/>
              <w:rPr>
                <w:rFonts w:ascii="Arial" w:hAnsi="Arial" w:cs="Arial"/>
                <w:b/>
                <w:sz w:val="18"/>
                <w:szCs w:val="18"/>
              </w:rPr>
            </w:pPr>
          </w:p>
        </w:tc>
        <w:tc>
          <w:tcPr>
            <w:tcW w:w="360" w:type="dxa"/>
            <w:tcBorders>
              <w:bottom w:val="single" w:sz="4" w:space="0" w:color="auto"/>
            </w:tcBorders>
            <w:shd w:val="clear" w:color="auto" w:fill="auto"/>
            <w:vAlign w:val="center"/>
          </w:tcPr>
          <w:p w14:paraId="688FD762"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1170" w:type="dxa"/>
            <w:gridSpan w:val="2"/>
            <w:vAlign w:val="center"/>
          </w:tcPr>
          <w:p w14:paraId="7146BAD7"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Consultant</w:t>
            </w:r>
          </w:p>
        </w:tc>
        <w:tc>
          <w:tcPr>
            <w:tcW w:w="900" w:type="dxa"/>
            <w:shd w:val="clear" w:color="auto" w:fill="auto"/>
            <w:vAlign w:val="center"/>
          </w:tcPr>
          <w:p w14:paraId="417ACE0E" w14:textId="77777777" w:rsidR="00243F8A" w:rsidRPr="0036083D" w:rsidRDefault="00243F8A" w:rsidP="0036083D">
            <w:pPr>
              <w:spacing w:line="276" w:lineRule="auto"/>
              <w:jc w:val="center"/>
              <w:rPr>
                <w:rFonts w:ascii="Arial" w:hAnsi="Arial" w:cs="Arial"/>
                <w:b/>
                <w:sz w:val="18"/>
                <w:szCs w:val="18"/>
              </w:rPr>
            </w:pPr>
            <w:r w:rsidRPr="0036083D">
              <w:rPr>
                <w:rFonts w:ascii="Arial" w:hAnsi="Arial" w:cs="Arial"/>
                <w:b/>
                <w:sz w:val="18"/>
                <w:szCs w:val="18"/>
              </w:rPr>
              <w:t>20,000</w:t>
            </w:r>
          </w:p>
        </w:tc>
      </w:tr>
      <w:tr w:rsidR="00243F8A" w:rsidRPr="0036083D" w14:paraId="6ADEEAE7" w14:textId="77777777" w:rsidTr="00507D0F">
        <w:tc>
          <w:tcPr>
            <w:tcW w:w="3708" w:type="dxa"/>
            <w:tcBorders>
              <w:bottom w:val="single" w:sz="4" w:space="0" w:color="auto"/>
            </w:tcBorders>
            <w:vAlign w:val="center"/>
          </w:tcPr>
          <w:p w14:paraId="6C4E464D" w14:textId="77777777" w:rsidR="00243F8A" w:rsidRPr="0036083D" w:rsidRDefault="00243F8A" w:rsidP="0036083D">
            <w:pPr>
              <w:spacing w:after="120" w:line="276" w:lineRule="auto"/>
              <w:rPr>
                <w:rFonts w:ascii="Arial" w:hAnsi="Arial" w:cs="Arial"/>
                <w:b/>
                <w:sz w:val="18"/>
                <w:szCs w:val="18"/>
              </w:rPr>
            </w:pPr>
            <w:r w:rsidRPr="0036083D">
              <w:rPr>
                <w:rFonts w:ascii="Arial" w:hAnsi="Arial" w:cs="Arial"/>
                <w:b/>
                <w:sz w:val="18"/>
                <w:szCs w:val="18"/>
              </w:rPr>
              <w:t>Distribution and discussion of the report</w:t>
            </w:r>
          </w:p>
        </w:tc>
        <w:tc>
          <w:tcPr>
            <w:tcW w:w="360" w:type="dxa"/>
            <w:tcBorders>
              <w:bottom w:val="single" w:sz="4" w:space="0" w:color="auto"/>
            </w:tcBorders>
            <w:shd w:val="clear" w:color="auto" w:fill="auto"/>
            <w:vAlign w:val="center"/>
          </w:tcPr>
          <w:p w14:paraId="11EBFB2D" w14:textId="77777777" w:rsidR="00243F8A" w:rsidRPr="0036083D" w:rsidRDefault="00243F8A" w:rsidP="0036083D">
            <w:pPr>
              <w:spacing w:line="276" w:lineRule="auto"/>
              <w:jc w:val="center"/>
              <w:rPr>
                <w:rFonts w:ascii="Arial" w:hAnsi="Arial" w:cs="Arial"/>
                <w:b/>
                <w:sz w:val="18"/>
                <w:szCs w:val="18"/>
              </w:rPr>
            </w:pPr>
          </w:p>
        </w:tc>
        <w:tc>
          <w:tcPr>
            <w:tcW w:w="360" w:type="dxa"/>
            <w:tcBorders>
              <w:bottom w:val="single" w:sz="4" w:space="0" w:color="auto"/>
            </w:tcBorders>
            <w:shd w:val="clear" w:color="auto" w:fill="auto"/>
            <w:vAlign w:val="center"/>
          </w:tcPr>
          <w:p w14:paraId="250FA2EC" w14:textId="77777777" w:rsidR="00243F8A" w:rsidRPr="0036083D" w:rsidRDefault="00243F8A" w:rsidP="0036083D">
            <w:pPr>
              <w:spacing w:line="276" w:lineRule="auto"/>
              <w:jc w:val="center"/>
              <w:rPr>
                <w:rFonts w:ascii="Arial" w:hAnsi="Arial" w:cs="Arial"/>
                <w:b/>
                <w:sz w:val="18"/>
                <w:szCs w:val="18"/>
              </w:rPr>
            </w:pPr>
          </w:p>
        </w:tc>
        <w:tc>
          <w:tcPr>
            <w:tcW w:w="360" w:type="dxa"/>
            <w:tcBorders>
              <w:bottom w:val="single" w:sz="4" w:space="0" w:color="auto"/>
            </w:tcBorders>
            <w:shd w:val="clear" w:color="auto" w:fill="auto"/>
            <w:vAlign w:val="center"/>
          </w:tcPr>
          <w:p w14:paraId="63EA0CB4" w14:textId="77777777" w:rsidR="00243F8A" w:rsidRPr="0036083D" w:rsidRDefault="00243F8A" w:rsidP="0036083D">
            <w:pPr>
              <w:spacing w:line="276" w:lineRule="auto"/>
              <w:jc w:val="center"/>
              <w:rPr>
                <w:rFonts w:ascii="Arial" w:hAnsi="Arial" w:cs="Arial"/>
                <w:b/>
                <w:sz w:val="18"/>
                <w:szCs w:val="18"/>
              </w:rPr>
            </w:pPr>
          </w:p>
        </w:tc>
        <w:tc>
          <w:tcPr>
            <w:tcW w:w="360" w:type="dxa"/>
            <w:tcBorders>
              <w:bottom w:val="single" w:sz="4" w:space="0" w:color="auto"/>
            </w:tcBorders>
            <w:shd w:val="clear" w:color="auto" w:fill="auto"/>
            <w:vAlign w:val="center"/>
          </w:tcPr>
          <w:p w14:paraId="24F62E7B" w14:textId="77777777" w:rsidR="00243F8A" w:rsidRPr="0036083D" w:rsidRDefault="00243F8A" w:rsidP="0036083D">
            <w:pPr>
              <w:spacing w:line="276" w:lineRule="auto"/>
              <w:jc w:val="center"/>
              <w:rPr>
                <w:rFonts w:ascii="Arial" w:hAnsi="Arial" w:cs="Arial"/>
                <w:b/>
                <w:sz w:val="18"/>
                <w:szCs w:val="18"/>
              </w:rPr>
            </w:pPr>
          </w:p>
        </w:tc>
        <w:tc>
          <w:tcPr>
            <w:tcW w:w="360" w:type="dxa"/>
            <w:tcBorders>
              <w:bottom w:val="single" w:sz="4" w:space="0" w:color="auto"/>
            </w:tcBorders>
            <w:shd w:val="clear" w:color="auto" w:fill="auto"/>
            <w:vAlign w:val="center"/>
          </w:tcPr>
          <w:p w14:paraId="1361FD67" w14:textId="77777777" w:rsidR="00243F8A" w:rsidRPr="0036083D" w:rsidRDefault="00243F8A" w:rsidP="0036083D">
            <w:pPr>
              <w:spacing w:line="276" w:lineRule="auto"/>
              <w:jc w:val="center"/>
              <w:rPr>
                <w:rFonts w:ascii="Arial" w:hAnsi="Arial" w:cs="Arial"/>
                <w:b/>
                <w:sz w:val="18"/>
                <w:szCs w:val="18"/>
              </w:rPr>
            </w:pPr>
          </w:p>
        </w:tc>
        <w:tc>
          <w:tcPr>
            <w:tcW w:w="360" w:type="dxa"/>
            <w:tcBorders>
              <w:bottom w:val="single" w:sz="4" w:space="0" w:color="auto"/>
            </w:tcBorders>
            <w:shd w:val="clear" w:color="auto" w:fill="auto"/>
            <w:vAlign w:val="center"/>
          </w:tcPr>
          <w:p w14:paraId="31430E4B" w14:textId="77777777" w:rsidR="00243F8A" w:rsidRPr="0036083D" w:rsidRDefault="00243F8A" w:rsidP="0036083D">
            <w:pPr>
              <w:spacing w:line="276" w:lineRule="auto"/>
              <w:jc w:val="center"/>
              <w:rPr>
                <w:rFonts w:ascii="Arial" w:hAnsi="Arial" w:cs="Arial"/>
                <w:b/>
                <w:sz w:val="18"/>
                <w:szCs w:val="18"/>
              </w:rPr>
            </w:pPr>
          </w:p>
        </w:tc>
        <w:tc>
          <w:tcPr>
            <w:tcW w:w="360" w:type="dxa"/>
            <w:tcBorders>
              <w:bottom w:val="single" w:sz="4" w:space="0" w:color="auto"/>
            </w:tcBorders>
            <w:shd w:val="clear" w:color="auto" w:fill="auto"/>
            <w:vAlign w:val="center"/>
          </w:tcPr>
          <w:p w14:paraId="74881DB9" w14:textId="77777777" w:rsidR="00243F8A" w:rsidRPr="0036083D" w:rsidRDefault="00243F8A" w:rsidP="0036083D">
            <w:pPr>
              <w:spacing w:line="276" w:lineRule="auto"/>
              <w:jc w:val="center"/>
              <w:rPr>
                <w:rFonts w:ascii="Arial" w:hAnsi="Arial" w:cs="Arial"/>
                <w:b/>
                <w:sz w:val="18"/>
                <w:szCs w:val="18"/>
              </w:rPr>
            </w:pPr>
          </w:p>
        </w:tc>
        <w:tc>
          <w:tcPr>
            <w:tcW w:w="360" w:type="dxa"/>
            <w:tcBorders>
              <w:bottom w:val="single" w:sz="4" w:space="0" w:color="auto"/>
            </w:tcBorders>
            <w:shd w:val="clear" w:color="auto" w:fill="auto"/>
            <w:vAlign w:val="center"/>
          </w:tcPr>
          <w:p w14:paraId="24E9312E" w14:textId="77777777" w:rsidR="00243F8A" w:rsidRPr="0036083D" w:rsidRDefault="00243F8A" w:rsidP="0036083D">
            <w:pPr>
              <w:spacing w:line="276" w:lineRule="auto"/>
              <w:jc w:val="center"/>
              <w:rPr>
                <w:rFonts w:ascii="Arial" w:hAnsi="Arial" w:cs="Arial"/>
                <w:sz w:val="18"/>
                <w:szCs w:val="18"/>
              </w:rPr>
            </w:pPr>
            <w:r w:rsidRPr="0036083D">
              <w:rPr>
                <w:rFonts w:ascii="Arial" w:hAnsi="Arial" w:cs="Arial"/>
                <w:sz w:val="18"/>
                <w:szCs w:val="18"/>
              </w:rPr>
              <w:t>X</w:t>
            </w:r>
          </w:p>
        </w:tc>
        <w:tc>
          <w:tcPr>
            <w:tcW w:w="1170" w:type="dxa"/>
            <w:gridSpan w:val="2"/>
            <w:tcBorders>
              <w:bottom w:val="single" w:sz="4" w:space="0" w:color="auto"/>
            </w:tcBorders>
            <w:vAlign w:val="center"/>
          </w:tcPr>
          <w:p w14:paraId="211065A3" w14:textId="77777777" w:rsidR="00243F8A" w:rsidRPr="0036083D" w:rsidRDefault="00243F8A" w:rsidP="0036083D">
            <w:pPr>
              <w:spacing w:line="276" w:lineRule="auto"/>
              <w:jc w:val="center"/>
              <w:rPr>
                <w:rFonts w:ascii="Arial" w:hAnsi="Arial" w:cs="Arial"/>
                <w:b/>
                <w:sz w:val="18"/>
                <w:szCs w:val="18"/>
              </w:rPr>
            </w:pPr>
            <w:proofErr w:type="spellStart"/>
            <w:r w:rsidRPr="0036083D">
              <w:rPr>
                <w:rFonts w:ascii="Arial" w:hAnsi="Arial" w:cs="Arial"/>
                <w:sz w:val="16"/>
                <w:szCs w:val="16"/>
              </w:rPr>
              <w:t>Bancóldex</w:t>
            </w:r>
            <w:proofErr w:type="spellEnd"/>
            <w:r w:rsidRPr="0036083D">
              <w:rPr>
                <w:rFonts w:ascii="Arial" w:hAnsi="Arial" w:cs="Arial"/>
                <w:sz w:val="16"/>
                <w:szCs w:val="16"/>
              </w:rPr>
              <w:t>/IDB</w:t>
            </w:r>
          </w:p>
        </w:tc>
        <w:tc>
          <w:tcPr>
            <w:tcW w:w="900" w:type="dxa"/>
            <w:shd w:val="clear" w:color="auto" w:fill="auto"/>
            <w:vAlign w:val="center"/>
          </w:tcPr>
          <w:p w14:paraId="0D17F356" w14:textId="77777777" w:rsidR="00243F8A" w:rsidRPr="0036083D" w:rsidRDefault="00243F8A" w:rsidP="0036083D">
            <w:pPr>
              <w:spacing w:line="276" w:lineRule="auto"/>
              <w:jc w:val="center"/>
              <w:rPr>
                <w:rFonts w:ascii="Arial" w:hAnsi="Arial" w:cs="Arial"/>
                <w:b/>
                <w:sz w:val="18"/>
                <w:szCs w:val="18"/>
              </w:rPr>
            </w:pPr>
            <w:r w:rsidRPr="0036083D">
              <w:rPr>
                <w:rFonts w:ascii="Arial" w:hAnsi="Arial" w:cs="Arial"/>
                <w:b/>
                <w:sz w:val="18"/>
                <w:szCs w:val="18"/>
              </w:rPr>
              <w:t>5,000</w:t>
            </w:r>
          </w:p>
        </w:tc>
      </w:tr>
      <w:tr w:rsidR="00243F8A" w:rsidRPr="0036083D" w14:paraId="400E602C" w14:textId="77777777" w:rsidTr="00507D0F">
        <w:tc>
          <w:tcPr>
            <w:tcW w:w="3708" w:type="dxa"/>
            <w:tcBorders>
              <w:top w:val="single" w:sz="4" w:space="0" w:color="auto"/>
              <w:left w:val="nil"/>
              <w:bottom w:val="nil"/>
              <w:right w:val="nil"/>
            </w:tcBorders>
            <w:vAlign w:val="center"/>
          </w:tcPr>
          <w:p w14:paraId="04E696C2" w14:textId="77777777" w:rsidR="00243F8A" w:rsidRPr="0036083D" w:rsidRDefault="00243F8A" w:rsidP="0036083D">
            <w:pPr>
              <w:spacing w:after="120" w:line="276" w:lineRule="auto"/>
              <w:rPr>
                <w:rFonts w:ascii="Arial" w:hAnsi="Arial" w:cs="Arial"/>
                <w:b/>
                <w:sz w:val="18"/>
                <w:szCs w:val="18"/>
              </w:rPr>
            </w:pPr>
          </w:p>
        </w:tc>
        <w:tc>
          <w:tcPr>
            <w:tcW w:w="360" w:type="dxa"/>
            <w:tcBorders>
              <w:top w:val="single" w:sz="4" w:space="0" w:color="auto"/>
              <w:left w:val="nil"/>
              <w:bottom w:val="nil"/>
              <w:right w:val="nil"/>
            </w:tcBorders>
            <w:shd w:val="clear" w:color="auto" w:fill="auto"/>
            <w:vAlign w:val="center"/>
          </w:tcPr>
          <w:p w14:paraId="1D32471A" w14:textId="77777777" w:rsidR="00243F8A" w:rsidRPr="0036083D" w:rsidRDefault="00243F8A" w:rsidP="0036083D">
            <w:pPr>
              <w:spacing w:line="276" w:lineRule="auto"/>
              <w:jc w:val="center"/>
              <w:rPr>
                <w:rFonts w:ascii="Arial" w:hAnsi="Arial" w:cs="Arial"/>
                <w:b/>
                <w:sz w:val="18"/>
                <w:szCs w:val="18"/>
              </w:rPr>
            </w:pPr>
          </w:p>
        </w:tc>
        <w:tc>
          <w:tcPr>
            <w:tcW w:w="360" w:type="dxa"/>
            <w:tcBorders>
              <w:top w:val="single" w:sz="4" w:space="0" w:color="auto"/>
              <w:left w:val="nil"/>
              <w:bottom w:val="nil"/>
              <w:right w:val="nil"/>
            </w:tcBorders>
            <w:shd w:val="clear" w:color="auto" w:fill="auto"/>
            <w:vAlign w:val="center"/>
          </w:tcPr>
          <w:p w14:paraId="2CDE73E2" w14:textId="77777777" w:rsidR="00243F8A" w:rsidRPr="0036083D" w:rsidRDefault="00243F8A" w:rsidP="0036083D">
            <w:pPr>
              <w:spacing w:line="276" w:lineRule="auto"/>
              <w:jc w:val="center"/>
              <w:rPr>
                <w:rFonts w:ascii="Arial" w:hAnsi="Arial" w:cs="Arial"/>
                <w:b/>
                <w:sz w:val="18"/>
                <w:szCs w:val="18"/>
              </w:rPr>
            </w:pPr>
          </w:p>
        </w:tc>
        <w:tc>
          <w:tcPr>
            <w:tcW w:w="360" w:type="dxa"/>
            <w:tcBorders>
              <w:top w:val="single" w:sz="4" w:space="0" w:color="auto"/>
              <w:left w:val="nil"/>
              <w:bottom w:val="nil"/>
              <w:right w:val="nil"/>
            </w:tcBorders>
            <w:shd w:val="clear" w:color="auto" w:fill="auto"/>
            <w:vAlign w:val="center"/>
          </w:tcPr>
          <w:p w14:paraId="6D106ADB" w14:textId="77777777" w:rsidR="00243F8A" w:rsidRPr="0036083D" w:rsidRDefault="00243F8A" w:rsidP="0036083D">
            <w:pPr>
              <w:spacing w:line="276" w:lineRule="auto"/>
              <w:jc w:val="center"/>
              <w:rPr>
                <w:rFonts w:ascii="Arial" w:hAnsi="Arial" w:cs="Arial"/>
                <w:b/>
                <w:sz w:val="18"/>
                <w:szCs w:val="18"/>
              </w:rPr>
            </w:pPr>
          </w:p>
        </w:tc>
        <w:tc>
          <w:tcPr>
            <w:tcW w:w="360" w:type="dxa"/>
            <w:tcBorders>
              <w:top w:val="single" w:sz="4" w:space="0" w:color="auto"/>
              <w:left w:val="nil"/>
              <w:bottom w:val="nil"/>
              <w:right w:val="nil"/>
            </w:tcBorders>
            <w:shd w:val="clear" w:color="auto" w:fill="auto"/>
            <w:vAlign w:val="center"/>
          </w:tcPr>
          <w:p w14:paraId="29E057E2" w14:textId="77777777" w:rsidR="00243F8A" w:rsidRPr="0036083D" w:rsidRDefault="00243F8A" w:rsidP="0036083D">
            <w:pPr>
              <w:spacing w:line="276" w:lineRule="auto"/>
              <w:jc w:val="center"/>
              <w:rPr>
                <w:rFonts w:ascii="Arial" w:hAnsi="Arial" w:cs="Arial"/>
                <w:b/>
                <w:sz w:val="18"/>
                <w:szCs w:val="18"/>
              </w:rPr>
            </w:pPr>
          </w:p>
        </w:tc>
        <w:tc>
          <w:tcPr>
            <w:tcW w:w="360" w:type="dxa"/>
            <w:tcBorders>
              <w:top w:val="single" w:sz="4" w:space="0" w:color="auto"/>
              <w:left w:val="nil"/>
              <w:bottom w:val="nil"/>
              <w:right w:val="nil"/>
            </w:tcBorders>
            <w:shd w:val="clear" w:color="auto" w:fill="auto"/>
            <w:vAlign w:val="center"/>
          </w:tcPr>
          <w:p w14:paraId="1E984A67" w14:textId="77777777" w:rsidR="00243F8A" w:rsidRPr="0036083D" w:rsidRDefault="00243F8A" w:rsidP="0036083D">
            <w:pPr>
              <w:spacing w:line="276" w:lineRule="auto"/>
              <w:jc w:val="center"/>
              <w:rPr>
                <w:rFonts w:ascii="Arial" w:hAnsi="Arial" w:cs="Arial"/>
                <w:b/>
                <w:sz w:val="18"/>
                <w:szCs w:val="18"/>
              </w:rPr>
            </w:pPr>
          </w:p>
        </w:tc>
        <w:tc>
          <w:tcPr>
            <w:tcW w:w="360" w:type="dxa"/>
            <w:tcBorders>
              <w:top w:val="single" w:sz="4" w:space="0" w:color="auto"/>
              <w:left w:val="nil"/>
              <w:bottom w:val="nil"/>
              <w:right w:val="nil"/>
            </w:tcBorders>
            <w:shd w:val="clear" w:color="auto" w:fill="auto"/>
            <w:vAlign w:val="center"/>
          </w:tcPr>
          <w:p w14:paraId="536B07F7" w14:textId="77777777" w:rsidR="00243F8A" w:rsidRPr="0036083D" w:rsidRDefault="00243F8A" w:rsidP="0036083D">
            <w:pPr>
              <w:spacing w:line="276" w:lineRule="auto"/>
              <w:jc w:val="center"/>
              <w:rPr>
                <w:rFonts w:ascii="Arial" w:hAnsi="Arial" w:cs="Arial"/>
                <w:b/>
                <w:sz w:val="18"/>
                <w:szCs w:val="18"/>
              </w:rPr>
            </w:pPr>
          </w:p>
        </w:tc>
        <w:tc>
          <w:tcPr>
            <w:tcW w:w="360" w:type="dxa"/>
            <w:tcBorders>
              <w:top w:val="single" w:sz="4" w:space="0" w:color="auto"/>
              <w:left w:val="nil"/>
              <w:bottom w:val="nil"/>
              <w:right w:val="nil"/>
            </w:tcBorders>
            <w:shd w:val="clear" w:color="auto" w:fill="auto"/>
            <w:vAlign w:val="center"/>
          </w:tcPr>
          <w:p w14:paraId="4C1D718F" w14:textId="77777777" w:rsidR="00243F8A" w:rsidRPr="0036083D" w:rsidRDefault="00243F8A" w:rsidP="0036083D">
            <w:pPr>
              <w:spacing w:line="276" w:lineRule="auto"/>
              <w:jc w:val="center"/>
              <w:rPr>
                <w:rFonts w:ascii="Arial" w:hAnsi="Arial" w:cs="Arial"/>
                <w:b/>
                <w:sz w:val="18"/>
                <w:szCs w:val="18"/>
              </w:rPr>
            </w:pPr>
          </w:p>
        </w:tc>
        <w:tc>
          <w:tcPr>
            <w:tcW w:w="360" w:type="dxa"/>
            <w:tcBorders>
              <w:top w:val="single" w:sz="4" w:space="0" w:color="auto"/>
              <w:left w:val="nil"/>
              <w:bottom w:val="nil"/>
              <w:right w:val="single" w:sz="4" w:space="0" w:color="auto"/>
            </w:tcBorders>
            <w:shd w:val="clear" w:color="auto" w:fill="auto"/>
            <w:vAlign w:val="center"/>
          </w:tcPr>
          <w:p w14:paraId="209A6B32" w14:textId="77777777" w:rsidR="00243F8A" w:rsidRPr="0036083D" w:rsidRDefault="00243F8A" w:rsidP="0036083D">
            <w:pPr>
              <w:spacing w:line="276" w:lineRule="auto"/>
              <w:jc w:val="center"/>
              <w:rPr>
                <w:rFonts w:ascii="Arial" w:hAnsi="Arial" w:cs="Arial"/>
                <w:sz w:val="18"/>
                <w:szCs w:val="18"/>
              </w:rPr>
            </w:pPr>
          </w:p>
        </w:tc>
        <w:tc>
          <w:tcPr>
            <w:tcW w:w="1170" w:type="dxa"/>
            <w:gridSpan w:val="2"/>
            <w:tcBorders>
              <w:left w:val="single" w:sz="4" w:space="0" w:color="auto"/>
            </w:tcBorders>
            <w:vAlign w:val="center"/>
          </w:tcPr>
          <w:p w14:paraId="5F0F1462" w14:textId="77777777" w:rsidR="00243F8A" w:rsidRPr="0036083D" w:rsidRDefault="00243F8A" w:rsidP="0036083D">
            <w:pPr>
              <w:spacing w:line="276" w:lineRule="auto"/>
              <w:jc w:val="center"/>
              <w:rPr>
                <w:rFonts w:ascii="Arial" w:hAnsi="Arial" w:cs="Arial"/>
                <w:b/>
                <w:sz w:val="16"/>
                <w:szCs w:val="16"/>
              </w:rPr>
            </w:pPr>
            <w:r w:rsidRPr="0036083D">
              <w:rPr>
                <w:rFonts w:ascii="Arial" w:hAnsi="Arial" w:cs="Arial"/>
                <w:b/>
                <w:sz w:val="18"/>
                <w:szCs w:val="18"/>
              </w:rPr>
              <w:t>Total</w:t>
            </w:r>
          </w:p>
        </w:tc>
        <w:tc>
          <w:tcPr>
            <w:tcW w:w="900" w:type="dxa"/>
            <w:shd w:val="clear" w:color="auto" w:fill="auto"/>
            <w:vAlign w:val="center"/>
          </w:tcPr>
          <w:p w14:paraId="608DEEC8" w14:textId="77777777" w:rsidR="00243F8A" w:rsidRPr="0036083D" w:rsidRDefault="00243F8A" w:rsidP="0036083D">
            <w:pPr>
              <w:spacing w:line="276" w:lineRule="auto"/>
              <w:jc w:val="center"/>
              <w:rPr>
                <w:rFonts w:ascii="Arial" w:hAnsi="Arial" w:cs="Arial"/>
                <w:b/>
                <w:sz w:val="18"/>
                <w:szCs w:val="18"/>
              </w:rPr>
            </w:pPr>
            <w:r w:rsidRPr="0036083D">
              <w:rPr>
                <w:rFonts w:ascii="Arial" w:hAnsi="Arial" w:cs="Arial"/>
                <w:b/>
                <w:sz w:val="18"/>
                <w:szCs w:val="18"/>
              </w:rPr>
              <w:t>60,000</w:t>
            </w:r>
          </w:p>
        </w:tc>
      </w:tr>
      <w:tr w:rsidR="00243F8A" w:rsidRPr="0036083D" w14:paraId="35D8F2C6" w14:textId="77777777" w:rsidTr="00507D0F">
        <w:trPr>
          <w:gridAfter w:val="2"/>
          <w:wAfter w:w="1350" w:type="dxa"/>
          <w:trHeight w:val="80"/>
        </w:trPr>
        <w:tc>
          <w:tcPr>
            <w:tcW w:w="3708" w:type="dxa"/>
            <w:tcBorders>
              <w:top w:val="nil"/>
              <w:left w:val="nil"/>
              <w:bottom w:val="nil"/>
              <w:right w:val="nil"/>
            </w:tcBorders>
          </w:tcPr>
          <w:p w14:paraId="028C58F2" w14:textId="77777777" w:rsidR="00243F8A" w:rsidRPr="0036083D" w:rsidRDefault="00243F8A" w:rsidP="0036083D">
            <w:pPr>
              <w:spacing w:line="276" w:lineRule="auto"/>
              <w:jc w:val="center"/>
              <w:rPr>
                <w:rFonts w:ascii="Arial" w:hAnsi="Arial" w:cs="Arial"/>
                <w:b/>
                <w:sz w:val="18"/>
                <w:szCs w:val="18"/>
              </w:rPr>
            </w:pPr>
          </w:p>
        </w:tc>
        <w:tc>
          <w:tcPr>
            <w:tcW w:w="720" w:type="dxa"/>
            <w:gridSpan w:val="2"/>
            <w:tcBorders>
              <w:top w:val="nil"/>
              <w:left w:val="nil"/>
              <w:bottom w:val="nil"/>
              <w:right w:val="nil"/>
            </w:tcBorders>
            <w:vAlign w:val="center"/>
          </w:tcPr>
          <w:p w14:paraId="5D3CF109" w14:textId="77777777" w:rsidR="00243F8A" w:rsidRPr="0036083D" w:rsidRDefault="00243F8A" w:rsidP="0036083D">
            <w:pPr>
              <w:spacing w:line="276" w:lineRule="auto"/>
              <w:jc w:val="center"/>
              <w:rPr>
                <w:rFonts w:ascii="Arial" w:hAnsi="Arial" w:cs="Arial"/>
                <w:sz w:val="18"/>
                <w:szCs w:val="18"/>
              </w:rPr>
            </w:pPr>
          </w:p>
        </w:tc>
        <w:tc>
          <w:tcPr>
            <w:tcW w:w="720" w:type="dxa"/>
            <w:gridSpan w:val="2"/>
            <w:tcBorders>
              <w:top w:val="nil"/>
              <w:left w:val="nil"/>
              <w:bottom w:val="nil"/>
              <w:right w:val="nil"/>
            </w:tcBorders>
            <w:vAlign w:val="center"/>
          </w:tcPr>
          <w:p w14:paraId="05F7DE29" w14:textId="77777777" w:rsidR="00243F8A" w:rsidRPr="0036083D" w:rsidRDefault="00243F8A" w:rsidP="0036083D">
            <w:pPr>
              <w:spacing w:line="276" w:lineRule="auto"/>
              <w:jc w:val="center"/>
              <w:rPr>
                <w:rFonts w:ascii="Arial" w:hAnsi="Arial" w:cs="Arial"/>
                <w:sz w:val="18"/>
                <w:szCs w:val="18"/>
              </w:rPr>
            </w:pPr>
          </w:p>
        </w:tc>
        <w:tc>
          <w:tcPr>
            <w:tcW w:w="720" w:type="dxa"/>
            <w:gridSpan w:val="2"/>
            <w:tcBorders>
              <w:top w:val="nil"/>
              <w:left w:val="nil"/>
              <w:bottom w:val="nil"/>
              <w:right w:val="nil"/>
            </w:tcBorders>
            <w:vAlign w:val="center"/>
          </w:tcPr>
          <w:p w14:paraId="111286FD" w14:textId="77777777" w:rsidR="00243F8A" w:rsidRPr="0036083D" w:rsidRDefault="00243F8A" w:rsidP="0036083D">
            <w:pPr>
              <w:spacing w:line="276" w:lineRule="auto"/>
              <w:jc w:val="center"/>
              <w:rPr>
                <w:rFonts w:ascii="Arial" w:hAnsi="Arial" w:cs="Arial"/>
                <w:sz w:val="18"/>
                <w:szCs w:val="18"/>
              </w:rPr>
            </w:pPr>
          </w:p>
        </w:tc>
        <w:tc>
          <w:tcPr>
            <w:tcW w:w="720" w:type="dxa"/>
            <w:gridSpan w:val="2"/>
            <w:tcBorders>
              <w:top w:val="nil"/>
              <w:left w:val="nil"/>
              <w:bottom w:val="nil"/>
              <w:right w:val="nil"/>
            </w:tcBorders>
            <w:vAlign w:val="center"/>
          </w:tcPr>
          <w:p w14:paraId="0ED16550" w14:textId="77777777" w:rsidR="00243F8A" w:rsidRPr="0036083D" w:rsidRDefault="00243F8A" w:rsidP="0036083D">
            <w:pPr>
              <w:spacing w:line="276" w:lineRule="auto"/>
              <w:jc w:val="center"/>
              <w:rPr>
                <w:rFonts w:ascii="Arial" w:hAnsi="Arial" w:cs="Arial"/>
                <w:sz w:val="18"/>
                <w:szCs w:val="18"/>
              </w:rPr>
            </w:pPr>
          </w:p>
        </w:tc>
        <w:tc>
          <w:tcPr>
            <w:tcW w:w="720" w:type="dxa"/>
            <w:tcBorders>
              <w:top w:val="single" w:sz="4" w:space="0" w:color="auto"/>
              <w:left w:val="nil"/>
              <w:bottom w:val="nil"/>
              <w:right w:val="nil"/>
            </w:tcBorders>
            <w:vAlign w:val="center"/>
          </w:tcPr>
          <w:p w14:paraId="122879E5" w14:textId="77777777" w:rsidR="00243F8A" w:rsidRPr="0036083D" w:rsidRDefault="00243F8A" w:rsidP="0036083D">
            <w:pPr>
              <w:spacing w:line="276" w:lineRule="auto"/>
              <w:jc w:val="center"/>
              <w:rPr>
                <w:rFonts w:ascii="Arial" w:hAnsi="Arial" w:cs="Arial"/>
                <w:sz w:val="18"/>
                <w:szCs w:val="18"/>
              </w:rPr>
            </w:pPr>
          </w:p>
        </w:tc>
      </w:tr>
    </w:tbl>
    <w:p w14:paraId="0388C6FF" w14:textId="2FD53A9D" w:rsidR="007C3B95" w:rsidRPr="0036083D" w:rsidRDefault="007C3B95" w:rsidP="0036083D">
      <w:pPr>
        <w:pStyle w:val="AutoNumpara"/>
        <w:numPr>
          <w:ilvl w:val="0"/>
          <w:numId w:val="0"/>
        </w:numPr>
        <w:spacing w:line="276" w:lineRule="auto"/>
        <w:ind w:left="720"/>
        <w:rPr>
          <w:rFonts w:ascii="Arial" w:hAnsi="Arial" w:cs="Arial"/>
        </w:rPr>
      </w:pPr>
    </w:p>
    <w:p w14:paraId="6E535CC8" w14:textId="77777777" w:rsidR="00C31215" w:rsidRDefault="00C31215" w:rsidP="00C31215">
      <w:pPr>
        <w:pStyle w:val="Heading1"/>
        <w:numPr>
          <w:ilvl w:val="0"/>
          <w:numId w:val="0"/>
        </w:numPr>
        <w:spacing w:after="120" w:line="276" w:lineRule="auto"/>
        <w:ind w:left="288"/>
        <w:rPr>
          <w:rFonts w:ascii="Arial" w:hAnsi="Arial" w:cs="Arial"/>
          <w:color w:val="auto"/>
          <w:sz w:val="22"/>
          <w:szCs w:val="22"/>
        </w:rPr>
      </w:pPr>
    </w:p>
    <w:p w14:paraId="0F1B49F6" w14:textId="77777777" w:rsidR="00C31215" w:rsidRDefault="00C31215" w:rsidP="00C31215"/>
    <w:p w14:paraId="24F12C06" w14:textId="77777777" w:rsidR="00C31215" w:rsidRDefault="00C31215" w:rsidP="00C31215"/>
    <w:p w14:paraId="5332AADC" w14:textId="77777777" w:rsidR="00C31215" w:rsidRDefault="00C31215" w:rsidP="00C31215"/>
    <w:p w14:paraId="59D19B1A" w14:textId="77777777" w:rsidR="00C31215" w:rsidRDefault="00C31215" w:rsidP="00C31215"/>
    <w:p w14:paraId="593824D6" w14:textId="77777777" w:rsidR="00C31215" w:rsidRPr="00C31215" w:rsidRDefault="00C31215" w:rsidP="00C31215"/>
    <w:p w14:paraId="24A94218" w14:textId="77777777" w:rsidR="00C14D69" w:rsidRPr="0036083D" w:rsidRDefault="00C14D69" w:rsidP="0036083D">
      <w:pPr>
        <w:pStyle w:val="Heading1"/>
        <w:spacing w:after="120" w:line="276" w:lineRule="auto"/>
        <w:jc w:val="center"/>
        <w:rPr>
          <w:rFonts w:ascii="Arial" w:hAnsi="Arial" w:cs="Arial"/>
          <w:color w:val="auto"/>
          <w:sz w:val="22"/>
          <w:szCs w:val="22"/>
        </w:rPr>
      </w:pPr>
      <w:r w:rsidRPr="0036083D">
        <w:rPr>
          <w:rFonts w:ascii="Arial" w:hAnsi="Arial" w:cs="Arial"/>
          <w:color w:val="auto"/>
          <w:sz w:val="22"/>
          <w:szCs w:val="22"/>
        </w:rPr>
        <w:lastRenderedPageBreak/>
        <w:t>Evaluation</w:t>
      </w:r>
    </w:p>
    <w:p w14:paraId="0C595050" w14:textId="77777777" w:rsidR="00A5713E" w:rsidRPr="0036083D" w:rsidRDefault="00A5713E" w:rsidP="0036083D">
      <w:pPr>
        <w:spacing w:after="120" w:line="276" w:lineRule="auto"/>
        <w:jc w:val="both"/>
        <w:rPr>
          <w:rFonts w:ascii="Arial" w:hAnsi="Arial" w:cs="Arial"/>
        </w:rPr>
      </w:pPr>
    </w:p>
    <w:p w14:paraId="596ACC60" w14:textId="77777777" w:rsidR="00C14D69" w:rsidRPr="0036083D" w:rsidRDefault="00C14D69" w:rsidP="0036083D">
      <w:pPr>
        <w:pStyle w:val="ListParagraph"/>
        <w:numPr>
          <w:ilvl w:val="0"/>
          <w:numId w:val="9"/>
        </w:numPr>
        <w:spacing w:after="120" w:line="276" w:lineRule="auto"/>
        <w:contextualSpacing w:val="0"/>
        <w:jc w:val="both"/>
        <w:rPr>
          <w:rFonts w:ascii="Arial" w:hAnsi="Arial" w:cs="Arial"/>
          <w:b/>
          <w:sz w:val="22"/>
          <w:szCs w:val="22"/>
        </w:rPr>
      </w:pPr>
      <w:r w:rsidRPr="0036083D">
        <w:rPr>
          <w:rFonts w:ascii="Arial" w:hAnsi="Arial" w:cs="Arial"/>
          <w:b/>
          <w:sz w:val="22"/>
          <w:szCs w:val="22"/>
        </w:rPr>
        <w:t>Main Evaluation Questions</w:t>
      </w:r>
    </w:p>
    <w:p w14:paraId="712F6B5E" w14:textId="43261677" w:rsidR="00F71B54" w:rsidRPr="0036083D" w:rsidRDefault="00F71B54" w:rsidP="0036083D">
      <w:pPr>
        <w:pStyle w:val="AutoNumpara"/>
        <w:spacing w:after="120" w:line="276" w:lineRule="auto"/>
        <w:jc w:val="both"/>
        <w:rPr>
          <w:rFonts w:ascii="Arial" w:hAnsi="Arial" w:cs="Arial"/>
          <w:sz w:val="22"/>
          <w:szCs w:val="22"/>
        </w:rPr>
      </w:pPr>
      <w:r w:rsidRPr="0036083D">
        <w:rPr>
          <w:rFonts w:ascii="Arial" w:hAnsi="Arial" w:cs="Arial"/>
          <w:sz w:val="22"/>
          <w:szCs w:val="22"/>
        </w:rPr>
        <w:t xml:space="preserve">This section aims at proposing a plan to carry out an evaluation of the program. </w:t>
      </w:r>
      <w:r w:rsidR="00D620B2" w:rsidRPr="0036083D">
        <w:rPr>
          <w:rFonts w:ascii="Arial" w:hAnsi="Arial" w:cs="Arial"/>
          <w:sz w:val="22"/>
          <w:szCs w:val="22"/>
        </w:rPr>
        <w:t xml:space="preserve">Given the small number of beneficiaries that </w:t>
      </w:r>
      <w:proofErr w:type="gramStart"/>
      <w:r w:rsidR="00D620B2" w:rsidRPr="0036083D">
        <w:rPr>
          <w:rFonts w:ascii="Arial" w:hAnsi="Arial" w:cs="Arial"/>
          <w:sz w:val="22"/>
          <w:szCs w:val="22"/>
        </w:rPr>
        <w:t>are expected</w:t>
      </w:r>
      <w:proofErr w:type="gramEnd"/>
      <w:r w:rsidR="00D620B2" w:rsidRPr="0036083D">
        <w:rPr>
          <w:rFonts w:ascii="Arial" w:hAnsi="Arial" w:cs="Arial"/>
          <w:sz w:val="22"/>
          <w:szCs w:val="22"/>
        </w:rPr>
        <w:t xml:space="preserve"> from the program, </w:t>
      </w:r>
      <w:r w:rsidR="004A528A" w:rsidRPr="0036083D">
        <w:rPr>
          <w:rFonts w:ascii="Arial" w:hAnsi="Arial" w:cs="Arial"/>
          <w:sz w:val="22"/>
          <w:szCs w:val="22"/>
        </w:rPr>
        <w:t>it will not be possible to carry out an impact evaluation using a sample size that would provide enough power for statistical inference. However, given the expected availability of data that will come from the monitoring process, an ex-post cost-benefit analysis will be undertaken. Hence, t</w:t>
      </w:r>
      <w:r w:rsidRPr="0036083D">
        <w:rPr>
          <w:rFonts w:ascii="Arial" w:hAnsi="Arial" w:cs="Arial"/>
          <w:sz w:val="22"/>
          <w:szCs w:val="22"/>
        </w:rPr>
        <w:t xml:space="preserve">he main evaluation questions </w:t>
      </w:r>
      <w:r w:rsidR="004A528A" w:rsidRPr="0036083D">
        <w:rPr>
          <w:rFonts w:ascii="Arial" w:hAnsi="Arial" w:cs="Arial"/>
          <w:sz w:val="22"/>
          <w:szCs w:val="22"/>
        </w:rPr>
        <w:t>that will be answered using this method are</w:t>
      </w:r>
      <w:r w:rsidRPr="0036083D">
        <w:rPr>
          <w:rFonts w:ascii="Arial" w:hAnsi="Arial" w:cs="Arial"/>
          <w:sz w:val="22"/>
          <w:szCs w:val="22"/>
        </w:rPr>
        <w:t xml:space="preserve">: </w:t>
      </w:r>
    </w:p>
    <w:p w14:paraId="4336F5F3" w14:textId="43D8C2C6" w:rsidR="00F71B54" w:rsidRPr="0036083D" w:rsidRDefault="00F71B54" w:rsidP="0036083D">
      <w:pPr>
        <w:pStyle w:val="Heading4"/>
        <w:spacing w:after="120" w:line="276" w:lineRule="auto"/>
        <w:jc w:val="both"/>
        <w:rPr>
          <w:rFonts w:ascii="Arial" w:hAnsi="Arial" w:cs="Arial"/>
          <w:b w:val="0"/>
          <w:i w:val="0"/>
          <w:color w:val="auto"/>
          <w:sz w:val="22"/>
          <w:szCs w:val="22"/>
        </w:rPr>
      </w:pPr>
      <w:r w:rsidRPr="0036083D">
        <w:rPr>
          <w:rFonts w:ascii="Arial" w:hAnsi="Arial" w:cs="Arial"/>
          <w:b w:val="0"/>
          <w:i w:val="0"/>
          <w:color w:val="auto"/>
          <w:sz w:val="22"/>
          <w:szCs w:val="22"/>
        </w:rPr>
        <w:t xml:space="preserve">What </w:t>
      </w:r>
      <w:r w:rsidR="000224DE" w:rsidRPr="0036083D">
        <w:rPr>
          <w:rFonts w:ascii="Arial" w:hAnsi="Arial" w:cs="Arial"/>
          <w:b w:val="0"/>
          <w:i w:val="0"/>
          <w:color w:val="auto"/>
          <w:sz w:val="22"/>
          <w:szCs w:val="22"/>
        </w:rPr>
        <w:t>is the economic value of the savings achieved by the projects financed by the program</w:t>
      </w:r>
      <w:r w:rsidR="00ED6628" w:rsidRPr="0036083D">
        <w:rPr>
          <w:rFonts w:ascii="Arial" w:hAnsi="Arial" w:cs="Arial"/>
          <w:b w:val="0"/>
          <w:i w:val="0"/>
          <w:color w:val="auto"/>
          <w:sz w:val="22"/>
          <w:szCs w:val="22"/>
        </w:rPr>
        <w:t xml:space="preserve"> compared to a counterfactual scenario</w:t>
      </w:r>
      <w:r w:rsidRPr="0036083D">
        <w:rPr>
          <w:rFonts w:ascii="Arial" w:hAnsi="Arial" w:cs="Arial"/>
          <w:b w:val="0"/>
          <w:i w:val="0"/>
          <w:color w:val="auto"/>
          <w:sz w:val="22"/>
          <w:szCs w:val="22"/>
        </w:rPr>
        <w:t>?</w:t>
      </w:r>
    </w:p>
    <w:p w14:paraId="2E864E69" w14:textId="6DB4F0B5" w:rsidR="00F71B54" w:rsidRPr="0036083D" w:rsidRDefault="000224DE" w:rsidP="0036083D">
      <w:pPr>
        <w:pStyle w:val="Heading4"/>
        <w:spacing w:after="120" w:line="276" w:lineRule="auto"/>
        <w:jc w:val="both"/>
        <w:rPr>
          <w:rFonts w:ascii="Arial" w:hAnsi="Arial" w:cs="Arial"/>
          <w:b w:val="0"/>
          <w:i w:val="0"/>
          <w:color w:val="auto"/>
          <w:sz w:val="22"/>
          <w:szCs w:val="22"/>
        </w:rPr>
      </w:pPr>
      <w:r w:rsidRPr="0036083D">
        <w:rPr>
          <w:rFonts w:ascii="Arial" w:hAnsi="Arial" w:cs="Arial"/>
          <w:b w:val="0"/>
          <w:i w:val="0"/>
          <w:color w:val="auto"/>
          <w:sz w:val="22"/>
          <w:szCs w:val="22"/>
        </w:rPr>
        <w:t xml:space="preserve">What is the </w:t>
      </w:r>
      <w:r w:rsidR="00ED6628" w:rsidRPr="0036083D">
        <w:rPr>
          <w:rFonts w:ascii="Arial" w:hAnsi="Arial" w:cs="Arial"/>
          <w:b w:val="0"/>
          <w:i w:val="0"/>
          <w:color w:val="auto"/>
          <w:sz w:val="22"/>
          <w:szCs w:val="22"/>
        </w:rPr>
        <w:t xml:space="preserve">economic value of the greenhouse gas emissions reduced by the projects that </w:t>
      </w:r>
      <w:proofErr w:type="gramStart"/>
      <w:r w:rsidR="00ED6628" w:rsidRPr="0036083D">
        <w:rPr>
          <w:rFonts w:ascii="Arial" w:hAnsi="Arial" w:cs="Arial"/>
          <w:b w:val="0"/>
          <w:i w:val="0"/>
          <w:color w:val="auto"/>
          <w:sz w:val="22"/>
          <w:szCs w:val="22"/>
        </w:rPr>
        <w:t>were financed</w:t>
      </w:r>
      <w:proofErr w:type="gramEnd"/>
      <w:r w:rsidR="00ED6628" w:rsidRPr="0036083D">
        <w:rPr>
          <w:rFonts w:ascii="Arial" w:hAnsi="Arial" w:cs="Arial"/>
          <w:b w:val="0"/>
          <w:i w:val="0"/>
          <w:color w:val="auto"/>
          <w:sz w:val="22"/>
          <w:szCs w:val="22"/>
        </w:rPr>
        <w:t xml:space="preserve"> by the program compared to </w:t>
      </w:r>
      <w:r w:rsidR="004A528A" w:rsidRPr="0036083D">
        <w:rPr>
          <w:rFonts w:ascii="Arial" w:hAnsi="Arial" w:cs="Arial"/>
          <w:b w:val="0"/>
          <w:i w:val="0"/>
          <w:color w:val="auto"/>
          <w:sz w:val="22"/>
          <w:szCs w:val="22"/>
        </w:rPr>
        <w:t>a counterfactual scenario</w:t>
      </w:r>
      <w:r w:rsidR="00056F60" w:rsidRPr="0036083D">
        <w:rPr>
          <w:rFonts w:ascii="Arial" w:hAnsi="Arial" w:cs="Arial"/>
          <w:b w:val="0"/>
          <w:i w:val="0"/>
          <w:color w:val="auto"/>
          <w:sz w:val="22"/>
          <w:szCs w:val="22"/>
        </w:rPr>
        <w:t>?</w:t>
      </w:r>
    </w:p>
    <w:p w14:paraId="717AD188" w14:textId="5183343B" w:rsidR="0059034C" w:rsidRPr="0036083D" w:rsidRDefault="005B4107" w:rsidP="0036083D">
      <w:pPr>
        <w:pStyle w:val="Heading4"/>
        <w:spacing w:after="120" w:line="276" w:lineRule="auto"/>
        <w:jc w:val="both"/>
        <w:rPr>
          <w:rFonts w:ascii="Arial" w:hAnsi="Arial" w:cs="Arial"/>
          <w:b w:val="0"/>
          <w:i w:val="0"/>
          <w:color w:val="auto"/>
          <w:sz w:val="22"/>
          <w:szCs w:val="22"/>
        </w:rPr>
      </w:pPr>
      <w:r w:rsidRPr="0036083D">
        <w:rPr>
          <w:rFonts w:ascii="Arial" w:hAnsi="Arial" w:cs="Arial"/>
          <w:b w:val="0"/>
          <w:i w:val="0"/>
          <w:color w:val="auto"/>
          <w:sz w:val="22"/>
          <w:szCs w:val="22"/>
        </w:rPr>
        <w:t>What is the net present value of the project overall</w:t>
      </w:r>
      <w:r w:rsidR="0059034C" w:rsidRPr="0036083D">
        <w:rPr>
          <w:rFonts w:ascii="Arial" w:hAnsi="Arial" w:cs="Arial"/>
          <w:b w:val="0"/>
          <w:i w:val="0"/>
          <w:color w:val="auto"/>
          <w:sz w:val="22"/>
          <w:szCs w:val="22"/>
        </w:rPr>
        <w:t>?</w:t>
      </w:r>
    </w:p>
    <w:p w14:paraId="229ECC12" w14:textId="77777777" w:rsidR="00F71B54" w:rsidRPr="0036083D" w:rsidRDefault="00F71B54" w:rsidP="0036083D">
      <w:pPr>
        <w:spacing w:after="120" w:line="276" w:lineRule="auto"/>
        <w:jc w:val="both"/>
        <w:rPr>
          <w:rFonts w:ascii="Arial" w:hAnsi="Arial" w:cs="Arial"/>
          <w:sz w:val="22"/>
          <w:szCs w:val="22"/>
        </w:rPr>
      </w:pPr>
    </w:p>
    <w:p w14:paraId="41078B88" w14:textId="77777777" w:rsidR="00C14D69" w:rsidRPr="0036083D" w:rsidRDefault="00C14D69" w:rsidP="0036083D">
      <w:pPr>
        <w:pStyle w:val="ListParagraph"/>
        <w:numPr>
          <w:ilvl w:val="0"/>
          <w:numId w:val="9"/>
        </w:numPr>
        <w:spacing w:after="120" w:line="276" w:lineRule="auto"/>
        <w:contextualSpacing w:val="0"/>
        <w:jc w:val="both"/>
        <w:rPr>
          <w:rFonts w:ascii="Arial" w:hAnsi="Arial" w:cs="Arial"/>
          <w:b/>
          <w:sz w:val="22"/>
          <w:szCs w:val="22"/>
        </w:rPr>
      </w:pPr>
      <w:r w:rsidRPr="0036083D">
        <w:rPr>
          <w:rFonts w:ascii="Arial" w:hAnsi="Arial" w:cs="Arial"/>
          <w:b/>
          <w:sz w:val="22"/>
          <w:szCs w:val="22"/>
        </w:rPr>
        <w:t xml:space="preserve">Existing Knowledge </w:t>
      </w:r>
    </w:p>
    <w:p w14:paraId="42E457C0" w14:textId="0E090484" w:rsidR="00056F60" w:rsidRPr="0036083D" w:rsidRDefault="009439C1" w:rsidP="0036083D">
      <w:pPr>
        <w:pStyle w:val="AutoNumpara"/>
        <w:spacing w:after="120" w:line="276" w:lineRule="auto"/>
        <w:jc w:val="both"/>
        <w:rPr>
          <w:rFonts w:ascii="Arial" w:hAnsi="Arial" w:cs="Arial"/>
          <w:sz w:val="22"/>
          <w:szCs w:val="22"/>
        </w:rPr>
      </w:pPr>
      <w:r w:rsidRPr="0036083D">
        <w:rPr>
          <w:rFonts w:ascii="Arial" w:hAnsi="Arial" w:cs="Arial"/>
          <w:sz w:val="22"/>
          <w:szCs w:val="22"/>
        </w:rPr>
        <w:t xml:space="preserve">Important studies </w:t>
      </w:r>
      <w:proofErr w:type="gramStart"/>
      <w:r w:rsidRPr="0036083D">
        <w:rPr>
          <w:rFonts w:ascii="Arial" w:hAnsi="Arial" w:cs="Arial"/>
          <w:sz w:val="22"/>
          <w:szCs w:val="22"/>
        </w:rPr>
        <w:t>have</w:t>
      </w:r>
      <w:r w:rsidR="00056F60" w:rsidRPr="0036083D">
        <w:rPr>
          <w:rFonts w:ascii="Arial" w:hAnsi="Arial" w:cs="Arial"/>
          <w:sz w:val="22"/>
          <w:szCs w:val="22"/>
        </w:rPr>
        <w:t xml:space="preserve"> been </w:t>
      </w:r>
      <w:r w:rsidRPr="0036083D">
        <w:rPr>
          <w:rFonts w:ascii="Arial" w:hAnsi="Arial" w:cs="Arial"/>
          <w:sz w:val="22"/>
          <w:szCs w:val="22"/>
        </w:rPr>
        <w:t>undertaken</w:t>
      </w:r>
      <w:proofErr w:type="gramEnd"/>
      <w:r w:rsidR="00056F60" w:rsidRPr="0036083D">
        <w:rPr>
          <w:rFonts w:ascii="Arial" w:hAnsi="Arial" w:cs="Arial"/>
          <w:sz w:val="22"/>
          <w:szCs w:val="22"/>
        </w:rPr>
        <w:t xml:space="preserve"> in recent years focused on the development of </w:t>
      </w:r>
      <w:r w:rsidRPr="0036083D">
        <w:rPr>
          <w:rFonts w:ascii="Arial" w:hAnsi="Arial" w:cs="Arial"/>
          <w:sz w:val="22"/>
          <w:szCs w:val="22"/>
        </w:rPr>
        <w:t>non-conventional renewable energy in Colombia</w:t>
      </w:r>
      <w:r w:rsidR="00056F60" w:rsidRPr="0036083D">
        <w:rPr>
          <w:rFonts w:ascii="Arial" w:hAnsi="Arial" w:cs="Arial"/>
          <w:sz w:val="22"/>
          <w:szCs w:val="22"/>
        </w:rPr>
        <w:t xml:space="preserve">. Among these, </w:t>
      </w:r>
      <w:r w:rsidR="00056F60" w:rsidRPr="0036083D">
        <w:rPr>
          <w:rFonts w:ascii="Arial" w:hAnsi="Arial" w:cs="Arial"/>
          <w:i/>
          <w:sz w:val="22"/>
          <w:szCs w:val="22"/>
        </w:rPr>
        <w:t>“</w:t>
      </w:r>
      <w:proofErr w:type="spellStart"/>
      <w:r w:rsidR="00D3112A" w:rsidRPr="0036083D">
        <w:rPr>
          <w:rFonts w:ascii="Arial" w:hAnsi="Arial" w:cs="Arial"/>
          <w:i/>
          <w:sz w:val="22"/>
          <w:szCs w:val="22"/>
        </w:rPr>
        <w:t>Integració</w:t>
      </w:r>
      <w:r w:rsidRPr="0036083D">
        <w:rPr>
          <w:rFonts w:ascii="Arial" w:hAnsi="Arial" w:cs="Arial"/>
          <w:i/>
          <w:sz w:val="22"/>
          <w:szCs w:val="22"/>
        </w:rPr>
        <w:t>n</w:t>
      </w:r>
      <w:proofErr w:type="spellEnd"/>
      <w:r w:rsidRPr="0036083D">
        <w:rPr>
          <w:rFonts w:ascii="Arial" w:hAnsi="Arial" w:cs="Arial"/>
          <w:i/>
          <w:sz w:val="22"/>
          <w:szCs w:val="22"/>
        </w:rPr>
        <w:t xml:space="preserve"> de las </w:t>
      </w:r>
      <w:proofErr w:type="spellStart"/>
      <w:r w:rsidRPr="0036083D">
        <w:rPr>
          <w:rFonts w:ascii="Arial" w:hAnsi="Arial" w:cs="Arial"/>
          <w:i/>
          <w:sz w:val="22"/>
          <w:szCs w:val="22"/>
        </w:rPr>
        <w:t>Energías</w:t>
      </w:r>
      <w:proofErr w:type="spellEnd"/>
      <w:r w:rsidRPr="0036083D">
        <w:rPr>
          <w:rFonts w:ascii="Arial" w:hAnsi="Arial" w:cs="Arial"/>
          <w:i/>
          <w:sz w:val="22"/>
          <w:szCs w:val="22"/>
        </w:rPr>
        <w:t xml:space="preserve"> </w:t>
      </w:r>
      <w:proofErr w:type="spellStart"/>
      <w:r w:rsidRPr="0036083D">
        <w:rPr>
          <w:rFonts w:ascii="Arial" w:hAnsi="Arial" w:cs="Arial"/>
          <w:i/>
          <w:sz w:val="22"/>
          <w:szCs w:val="22"/>
        </w:rPr>
        <w:t>Renovables</w:t>
      </w:r>
      <w:proofErr w:type="spellEnd"/>
      <w:r w:rsidRPr="0036083D">
        <w:rPr>
          <w:rFonts w:ascii="Arial" w:hAnsi="Arial" w:cs="Arial"/>
          <w:i/>
          <w:sz w:val="22"/>
          <w:szCs w:val="22"/>
        </w:rPr>
        <w:t xml:space="preserve"> no </w:t>
      </w:r>
      <w:proofErr w:type="spellStart"/>
      <w:r w:rsidRPr="0036083D">
        <w:rPr>
          <w:rFonts w:ascii="Arial" w:hAnsi="Arial" w:cs="Arial"/>
          <w:i/>
          <w:sz w:val="22"/>
          <w:szCs w:val="22"/>
        </w:rPr>
        <w:t>Convencionales</w:t>
      </w:r>
      <w:proofErr w:type="spellEnd"/>
      <w:r w:rsidRPr="0036083D">
        <w:rPr>
          <w:rFonts w:ascii="Arial" w:hAnsi="Arial" w:cs="Arial"/>
          <w:i/>
          <w:sz w:val="22"/>
          <w:szCs w:val="22"/>
        </w:rPr>
        <w:t xml:space="preserve"> </w:t>
      </w:r>
      <w:proofErr w:type="spellStart"/>
      <w:r w:rsidRPr="0036083D">
        <w:rPr>
          <w:rFonts w:ascii="Arial" w:hAnsi="Arial" w:cs="Arial"/>
          <w:i/>
          <w:sz w:val="22"/>
          <w:szCs w:val="22"/>
        </w:rPr>
        <w:t>en</w:t>
      </w:r>
      <w:proofErr w:type="spellEnd"/>
      <w:r w:rsidRPr="0036083D">
        <w:rPr>
          <w:rFonts w:ascii="Arial" w:hAnsi="Arial" w:cs="Arial"/>
          <w:i/>
          <w:sz w:val="22"/>
          <w:szCs w:val="22"/>
        </w:rPr>
        <w:t xml:space="preserve"> Colombia”</w:t>
      </w:r>
      <w:r w:rsidR="00056F60" w:rsidRPr="0036083D">
        <w:rPr>
          <w:rFonts w:ascii="Arial" w:hAnsi="Arial" w:cs="Arial"/>
          <w:i/>
          <w:sz w:val="22"/>
          <w:szCs w:val="22"/>
        </w:rPr>
        <w:t xml:space="preserve"> </w:t>
      </w:r>
      <w:r w:rsidRPr="0036083D">
        <w:rPr>
          <w:rFonts w:ascii="Arial" w:hAnsi="Arial" w:cs="Arial"/>
          <w:sz w:val="22"/>
          <w:szCs w:val="22"/>
        </w:rPr>
        <w:t xml:space="preserve">(UPME 2015) </w:t>
      </w:r>
      <w:r w:rsidR="00056F60" w:rsidRPr="0036083D">
        <w:rPr>
          <w:rFonts w:ascii="Arial" w:hAnsi="Arial" w:cs="Arial"/>
          <w:sz w:val="22"/>
          <w:szCs w:val="22"/>
        </w:rPr>
        <w:t>makes an exhaustive analysis of the</w:t>
      </w:r>
      <w:r w:rsidRPr="0036083D">
        <w:rPr>
          <w:rFonts w:ascii="Arial" w:hAnsi="Arial" w:cs="Arial"/>
          <w:sz w:val="22"/>
          <w:szCs w:val="22"/>
        </w:rPr>
        <w:t xml:space="preserve"> benefits, costs, a regulation aspects of integrating non-conventional renewable energy in Colombia</w:t>
      </w:r>
      <w:r w:rsidR="00056F60" w:rsidRPr="0036083D">
        <w:rPr>
          <w:rFonts w:ascii="Arial" w:hAnsi="Arial" w:cs="Arial"/>
          <w:sz w:val="22"/>
          <w:szCs w:val="22"/>
        </w:rPr>
        <w:t>.</w:t>
      </w:r>
      <w:r w:rsidRPr="0036083D">
        <w:rPr>
          <w:rFonts w:ascii="Arial" w:hAnsi="Arial" w:cs="Arial"/>
          <w:sz w:val="22"/>
          <w:szCs w:val="22"/>
        </w:rPr>
        <w:t xml:space="preserve"> </w:t>
      </w:r>
      <w:proofErr w:type="spellStart"/>
      <w:r w:rsidRPr="0036083D">
        <w:rPr>
          <w:rFonts w:ascii="Arial" w:hAnsi="Arial" w:cs="Arial"/>
          <w:sz w:val="22"/>
          <w:szCs w:val="22"/>
          <w:lang w:val="es-ES_tradnl"/>
        </w:rPr>
        <w:t>Also</w:t>
      </w:r>
      <w:proofErr w:type="spellEnd"/>
      <w:r w:rsidRPr="0036083D">
        <w:rPr>
          <w:rFonts w:ascii="Arial" w:hAnsi="Arial" w:cs="Arial"/>
          <w:sz w:val="22"/>
          <w:szCs w:val="22"/>
          <w:lang w:val="es-ES_tradnl"/>
        </w:rPr>
        <w:t xml:space="preserve">, </w:t>
      </w:r>
      <w:r w:rsidRPr="0036083D">
        <w:rPr>
          <w:rFonts w:ascii="Arial" w:hAnsi="Arial" w:cs="Arial"/>
          <w:i/>
          <w:sz w:val="22"/>
          <w:szCs w:val="22"/>
          <w:lang w:val="es-ES_tradnl"/>
        </w:rPr>
        <w:t>“</w:t>
      </w:r>
      <w:proofErr w:type="spellStart"/>
      <w:r w:rsidRPr="0036083D">
        <w:rPr>
          <w:rFonts w:ascii="Arial" w:hAnsi="Arial" w:cs="Arial"/>
          <w:i/>
          <w:sz w:val="22"/>
          <w:szCs w:val="22"/>
          <w:lang w:val="es-ES_tradnl"/>
        </w:rPr>
        <w:t>Analisis</w:t>
      </w:r>
      <w:proofErr w:type="spellEnd"/>
      <w:r w:rsidRPr="0036083D">
        <w:rPr>
          <w:rFonts w:ascii="Arial" w:hAnsi="Arial" w:cs="Arial"/>
          <w:i/>
          <w:sz w:val="22"/>
          <w:szCs w:val="22"/>
          <w:lang w:val="es-ES_tradnl"/>
        </w:rPr>
        <w:t xml:space="preserve"> Costo-Benefi</w:t>
      </w:r>
      <w:r w:rsidR="00D3112A" w:rsidRPr="0036083D">
        <w:rPr>
          <w:rFonts w:ascii="Arial" w:hAnsi="Arial" w:cs="Arial"/>
          <w:i/>
          <w:sz w:val="22"/>
          <w:szCs w:val="22"/>
          <w:lang w:val="es-ES_tradnl"/>
        </w:rPr>
        <w:t>cio de Energí</w:t>
      </w:r>
      <w:r w:rsidRPr="0036083D">
        <w:rPr>
          <w:rFonts w:ascii="Arial" w:hAnsi="Arial" w:cs="Arial"/>
          <w:i/>
          <w:sz w:val="22"/>
          <w:szCs w:val="22"/>
          <w:lang w:val="es-ES_tradnl"/>
        </w:rPr>
        <w:t>as Renovables no Convencionales en Colombia”</w:t>
      </w:r>
      <w:r w:rsidRPr="0036083D">
        <w:rPr>
          <w:rFonts w:ascii="Arial" w:hAnsi="Arial" w:cs="Arial"/>
          <w:sz w:val="22"/>
          <w:szCs w:val="22"/>
          <w:lang w:val="es-ES_tradnl"/>
        </w:rPr>
        <w:t xml:space="preserve"> (</w:t>
      </w:r>
      <w:proofErr w:type="spellStart"/>
      <w:r w:rsidRPr="0036083D">
        <w:rPr>
          <w:rFonts w:ascii="Arial" w:hAnsi="Arial" w:cs="Arial"/>
          <w:sz w:val="22"/>
          <w:szCs w:val="22"/>
          <w:lang w:val="es-ES_tradnl"/>
        </w:rPr>
        <w:t>Fedesarrollo</w:t>
      </w:r>
      <w:proofErr w:type="spellEnd"/>
      <w:r w:rsidRPr="0036083D">
        <w:rPr>
          <w:rFonts w:ascii="Arial" w:hAnsi="Arial" w:cs="Arial"/>
          <w:sz w:val="22"/>
          <w:szCs w:val="22"/>
          <w:lang w:val="es-ES_tradnl"/>
        </w:rPr>
        <w:t xml:space="preserve"> 2013) </w:t>
      </w:r>
      <w:proofErr w:type="spellStart"/>
      <w:r w:rsidR="00D3112A" w:rsidRPr="0036083D">
        <w:rPr>
          <w:rFonts w:ascii="Arial" w:hAnsi="Arial" w:cs="Arial"/>
          <w:sz w:val="22"/>
          <w:szCs w:val="22"/>
          <w:lang w:val="es-ES_tradnl"/>
        </w:rPr>
        <w:t>performs</w:t>
      </w:r>
      <w:proofErr w:type="spellEnd"/>
      <w:r w:rsidR="00D3112A" w:rsidRPr="0036083D">
        <w:rPr>
          <w:rFonts w:ascii="Arial" w:hAnsi="Arial" w:cs="Arial"/>
          <w:sz w:val="22"/>
          <w:szCs w:val="22"/>
          <w:lang w:val="es-ES_tradnl"/>
        </w:rPr>
        <w:t xml:space="preserve"> a </w:t>
      </w:r>
      <w:proofErr w:type="spellStart"/>
      <w:r w:rsidR="00D3112A" w:rsidRPr="0036083D">
        <w:rPr>
          <w:rFonts w:ascii="Arial" w:hAnsi="Arial" w:cs="Arial"/>
          <w:sz w:val="22"/>
          <w:szCs w:val="22"/>
          <w:lang w:val="es-ES_tradnl"/>
        </w:rPr>
        <w:t>prospective</w:t>
      </w:r>
      <w:proofErr w:type="spellEnd"/>
      <w:r w:rsidR="00D3112A" w:rsidRPr="0036083D">
        <w:rPr>
          <w:rFonts w:ascii="Arial" w:hAnsi="Arial" w:cs="Arial"/>
          <w:sz w:val="22"/>
          <w:szCs w:val="22"/>
          <w:lang w:val="es-ES_tradnl"/>
        </w:rPr>
        <w:t xml:space="preserve"> </w:t>
      </w:r>
      <w:proofErr w:type="spellStart"/>
      <w:r w:rsidR="00D3112A" w:rsidRPr="0036083D">
        <w:rPr>
          <w:rFonts w:ascii="Arial" w:hAnsi="Arial" w:cs="Arial"/>
          <w:sz w:val="22"/>
          <w:szCs w:val="22"/>
          <w:lang w:val="es-ES_tradnl"/>
        </w:rPr>
        <w:t>evaluation</w:t>
      </w:r>
      <w:proofErr w:type="spellEnd"/>
      <w:r w:rsidR="00D3112A" w:rsidRPr="0036083D">
        <w:rPr>
          <w:rFonts w:ascii="Arial" w:hAnsi="Arial" w:cs="Arial"/>
          <w:sz w:val="22"/>
          <w:szCs w:val="22"/>
          <w:lang w:val="es-ES_tradnl"/>
        </w:rPr>
        <w:t xml:space="preserve"> of </w:t>
      </w:r>
      <w:proofErr w:type="spellStart"/>
      <w:r w:rsidR="00D3112A" w:rsidRPr="0036083D">
        <w:rPr>
          <w:rFonts w:ascii="Arial" w:hAnsi="Arial" w:cs="Arial"/>
          <w:sz w:val="22"/>
          <w:szCs w:val="22"/>
          <w:lang w:val="es-ES_tradnl"/>
        </w:rPr>
        <w:t>renewable</w:t>
      </w:r>
      <w:proofErr w:type="spellEnd"/>
      <w:r w:rsidR="00D3112A" w:rsidRPr="0036083D">
        <w:rPr>
          <w:rFonts w:ascii="Arial" w:hAnsi="Arial" w:cs="Arial"/>
          <w:sz w:val="22"/>
          <w:szCs w:val="22"/>
          <w:lang w:val="es-ES_tradnl"/>
        </w:rPr>
        <w:t xml:space="preserve"> </w:t>
      </w:r>
      <w:proofErr w:type="spellStart"/>
      <w:r w:rsidR="00D3112A" w:rsidRPr="0036083D">
        <w:rPr>
          <w:rFonts w:ascii="Arial" w:hAnsi="Arial" w:cs="Arial"/>
          <w:sz w:val="22"/>
          <w:szCs w:val="22"/>
          <w:lang w:val="es-ES_tradnl"/>
        </w:rPr>
        <w:t>energy</w:t>
      </w:r>
      <w:proofErr w:type="spellEnd"/>
      <w:r w:rsidR="00D3112A" w:rsidRPr="0036083D">
        <w:rPr>
          <w:rFonts w:ascii="Arial" w:hAnsi="Arial" w:cs="Arial"/>
          <w:sz w:val="22"/>
          <w:szCs w:val="22"/>
          <w:lang w:val="es-ES_tradnl"/>
        </w:rPr>
        <w:t xml:space="preserve"> </w:t>
      </w:r>
      <w:proofErr w:type="spellStart"/>
      <w:r w:rsidR="00D3112A" w:rsidRPr="0036083D">
        <w:rPr>
          <w:rFonts w:ascii="Arial" w:hAnsi="Arial" w:cs="Arial"/>
          <w:sz w:val="22"/>
          <w:szCs w:val="22"/>
          <w:lang w:val="es-ES_tradnl"/>
        </w:rPr>
        <w:t>compared</w:t>
      </w:r>
      <w:proofErr w:type="spellEnd"/>
      <w:r w:rsidR="00D3112A" w:rsidRPr="0036083D">
        <w:rPr>
          <w:rFonts w:ascii="Arial" w:hAnsi="Arial" w:cs="Arial"/>
          <w:sz w:val="22"/>
          <w:szCs w:val="22"/>
          <w:lang w:val="es-ES_tradnl"/>
        </w:rPr>
        <w:t xml:space="preserve"> to fuel-</w:t>
      </w:r>
      <w:proofErr w:type="spellStart"/>
      <w:r w:rsidR="00D3112A" w:rsidRPr="0036083D">
        <w:rPr>
          <w:rFonts w:ascii="Arial" w:hAnsi="Arial" w:cs="Arial"/>
          <w:sz w:val="22"/>
          <w:szCs w:val="22"/>
          <w:lang w:val="es-ES_tradnl"/>
        </w:rPr>
        <w:t>based</w:t>
      </w:r>
      <w:proofErr w:type="spellEnd"/>
      <w:r w:rsidR="00D3112A" w:rsidRPr="0036083D">
        <w:rPr>
          <w:rFonts w:ascii="Arial" w:hAnsi="Arial" w:cs="Arial"/>
          <w:sz w:val="22"/>
          <w:szCs w:val="22"/>
          <w:lang w:val="es-ES_tradnl"/>
        </w:rPr>
        <w:t xml:space="preserve"> </w:t>
      </w:r>
      <w:proofErr w:type="spellStart"/>
      <w:r w:rsidR="00D3112A" w:rsidRPr="0036083D">
        <w:rPr>
          <w:rFonts w:ascii="Arial" w:hAnsi="Arial" w:cs="Arial"/>
          <w:sz w:val="22"/>
          <w:szCs w:val="22"/>
          <w:lang w:val="es-ES_tradnl"/>
        </w:rPr>
        <w:t>ones</w:t>
      </w:r>
      <w:proofErr w:type="spellEnd"/>
      <w:r w:rsidR="00CB6508" w:rsidRPr="0036083D">
        <w:rPr>
          <w:rFonts w:ascii="Arial" w:hAnsi="Arial" w:cs="Arial"/>
          <w:sz w:val="22"/>
          <w:szCs w:val="22"/>
          <w:lang w:val="es-ES_tradnl"/>
        </w:rPr>
        <w:t xml:space="preserve">. </w:t>
      </w:r>
      <w:r w:rsidR="00CB6508" w:rsidRPr="0036083D">
        <w:rPr>
          <w:rFonts w:ascii="Arial" w:hAnsi="Arial" w:cs="Arial"/>
          <w:sz w:val="22"/>
          <w:szCs w:val="22"/>
        </w:rPr>
        <w:t xml:space="preserve">Furthermore, UPME reference plan of generation </w:t>
      </w:r>
      <w:r w:rsidR="00E0669D" w:rsidRPr="0036083D">
        <w:rPr>
          <w:rFonts w:ascii="Arial" w:hAnsi="Arial" w:cs="Arial"/>
          <w:sz w:val="22"/>
          <w:szCs w:val="22"/>
        </w:rPr>
        <w:t>expansion</w:t>
      </w:r>
      <w:r w:rsidR="00CB6508" w:rsidRPr="0036083D">
        <w:rPr>
          <w:rFonts w:ascii="Arial" w:hAnsi="Arial" w:cs="Arial"/>
          <w:sz w:val="22"/>
          <w:szCs w:val="22"/>
        </w:rPr>
        <w:t xml:space="preserve"> for 2028</w:t>
      </w:r>
      <w:r w:rsidR="00E0669D" w:rsidRPr="0036083D">
        <w:rPr>
          <w:rStyle w:val="FootnoteReference"/>
          <w:rFonts w:ascii="Arial" w:hAnsi="Arial" w:cs="Arial"/>
          <w:szCs w:val="22"/>
        </w:rPr>
        <w:footnoteReference w:id="4"/>
      </w:r>
      <w:r w:rsidR="00CB6508" w:rsidRPr="0036083D">
        <w:rPr>
          <w:rFonts w:ascii="Arial" w:hAnsi="Arial" w:cs="Arial"/>
          <w:sz w:val="22"/>
          <w:szCs w:val="22"/>
        </w:rPr>
        <w:t xml:space="preserve"> </w:t>
      </w:r>
      <w:r w:rsidR="00E0669D" w:rsidRPr="0036083D">
        <w:rPr>
          <w:rFonts w:ascii="Arial" w:hAnsi="Arial" w:cs="Arial"/>
          <w:sz w:val="22"/>
          <w:szCs w:val="22"/>
        </w:rPr>
        <w:t xml:space="preserve">analyses the impact of introducing renewable </w:t>
      </w:r>
      <w:r w:rsidR="00AD6E6B" w:rsidRPr="0036083D">
        <w:rPr>
          <w:rFonts w:ascii="Arial" w:hAnsi="Arial" w:cs="Arial"/>
          <w:sz w:val="22"/>
          <w:szCs w:val="22"/>
        </w:rPr>
        <w:t xml:space="preserve">energy </w:t>
      </w:r>
      <w:r w:rsidR="00E0669D" w:rsidRPr="0036083D">
        <w:rPr>
          <w:rFonts w:ascii="Arial" w:hAnsi="Arial" w:cs="Arial"/>
          <w:sz w:val="22"/>
          <w:szCs w:val="22"/>
        </w:rPr>
        <w:t>on emissions reductions, price of electricity and system stability for Colombia.</w:t>
      </w:r>
      <w:r w:rsidR="00703CE2" w:rsidRPr="0036083D">
        <w:rPr>
          <w:rFonts w:ascii="Arial" w:hAnsi="Arial" w:cs="Arial"/>
          <w:sz w:val="22"/>
          <w:szCs w:val="22"/>
        </w:rPr>
        <w:t xml:space="preserve"> </w:t>
      </w:r>
      <w:proofErr w:type="gramStart"/>
      <w:r w:rsidR="00AD6E6B" w:rsidRPr="0036083D">
        <w:rPr>
          <w:rFonts w:ascii="Arial" w:hAnsi="Arial" w:cs="Arial"/>
          <w:sz w:val="22"/>
          <w:szCs w:val="22"/>
        </w:rPr>
        <w:t>However, there are no studies that quantify the economic benefits of renewable energy specifically for the ZNIs, considering the investment and operations costs particular to these regions.</w:t>
      </w:r>
      <w:proofErr w:type="gramEnd"/>
      <w:r w:rsidR="00AD6E6B" w:rsidRPr="0036083D">
        <w:rPr>
          <w:rFonts w:ascii="Arial" w:hAnsi="Arial" w:cs="Arial"/>
          <w:sz w:val="22"/>
          <w:szCs w:val="22"/>
        </w:rPr>
        <w:t xml:space="preserve"> </w:t>
      </w:r>
      <w:r w:rsidR="00D3112A" w:rsidRPr="0036083D">
        <w:rPr>
          <w:rFonts w:ascii="Arial" w:hAnsi="Arial" w:cs="Arial"/>
          <w:i/>
          <w:sz w:val="22"/>
          <w:szCs w:val="22"/>
        </w:rPr>
        <w:t>.</w:t>
      </w:r>
    </w:p>
    <w:p w14:paraId="750DAF6D" w14:textId="3E3DB6AC" w:rsidR="006A40B8" w:rsidRPr="0036083D" w:rsidRDefault="006A40B8" w:rsidP="0036083D">
      <w:pPr>
        <w:pStyle w:val="AutoNumpara"/>
        <w:spacing w:after="120" w:line="276" w:lineRule="auto"/>
        <w:jc w:val="both"/>
        <w:rPr>
          <w:rFonts w:ascii="Arial" w:hAnsi="Arial" w:cs="Arial"/>
          <w:sz w:val="22"/>
          <w:szCs w:val="22"/>
        </w:rPr>
      </w:pPr>
      <w:r w:rsidRPr="006C047B">
        <w:rPr>
          <w:rFonts w:ascii="Arial" w:hAnsi="Arial" w:cs="Arial"/>
          <w:sz w:val="22"/>
          <w:szCs w:val="22"/>
        </w:rPr>
        <w:t xml:space="preserve">The </w:t>
      </w:r>
      <w:r w:rsidR="004D47B0" w:rsidRPr="006C047B">
        <w:rPr>
          <w:rFonts w:ascii="Arial" w:hAnsi="Arial" w:cs="Arial"/>
          <w:sz w:val="22"/>
          <w:szCs w:val="22"/>
        </w:rPr>
        <w:t>ex-ante</w:t>
      </w:r>
      <w:r w:rsidRPr="006C047B">
        <w:rPr>
          <w:rFonts w:ascii="Arial" w:hAnsi="Arial" w:cs="Arial"/>
          <w:sz w:val="22"/>
          <w:szCs w:val="22"/>
        </w:rPr>
        <w:t xml:space="preserve"> cost-benefit </w:t>
      </w:r>
      <w:r w:rsidR="004D47B0" w:rsidRPr="006C047B">
        <w:rPr>
          <w:rFonts w:ascii="Arial" w:hAnsi="Arial" w:cs="Arial"/>
          <w:sz w:val="22"/>
          <w:szCs w:val="22"/>
        </w:rPr>
        <w:t>analysis</w:t>
      </w:r>
      <w:r w:rsidR="00F32067" w:rsidRPr="006C047B">
        <w:rPr>
          <w:rStyle w:val="FootnoteReference"/>
          <w:rFonts w:ascii="Arial" w:hAnsi="Arial" w:cs="Arial"/>
          <w:szCs w:val="22"/>
        </w:rPr>
        <w:footnoteReference w:id="5"/>
      </w:r>
      <w:r w:rsidR="004D47B0" w:rsidRPr="006C047B">
        <w:rPr>
          <w:rFonts w:ascii="Arial" w:hAnsi="Arial" w:cs="Arial"/>
          <w:sz w:val="22"/>
          <w:szCs w:val="22"/>
        </w:rPr>
        <w:t xml:space="preserve"> found</w:t>
      </w:r>
      <w:r w:rsidRPr="006C047B">
        <w:rPr>
          <w:rFonts w:ascii="Arial" w:hAnsi="Arial" w:cs="Arial"/>
          <w:sz w:val="22"/>
          <w:szCs w:val="22"/>
        </w:rPr>
        <w:t xml:space="preserve"> that the net cash flows discounted at a rate of 12% produce a net present value (NPV) for the program of US$</w:t>
      </w:r>
      <w:r w:rsidR="006C047B" w:rsidRPr="006C047B">
        <w:rPr>
          <w:rFonts w:ascii="Arial" w:hAnsi="Arial" w:cs="Arial"/>
          <w:sz w:val="22"/>
          <w:szCs w:val="22"/>
        </w:rPr>
        <w:t>33.27</w:t>
      </w:r>
      <w:r w:rsidRPr="006C047B">
        <w:rPr>
          <w:rFonts w:ascii="Arial" w:hAnsi="Arial" w:cs="Arial"/>
          <w:sz w:val="22"/>
          <w:szCs w:val="22"/>
        </w:rPr>
        <w:t xml:space="preserve"> million. Besides, the cost-efficiency analysis gave a very positive output of the program in terms</w:t>
      </w:r>
      <w:r w:rsidRPr="0036083D">
        <w:rPr>
          <w:rFonts w:ascii="Arial" w:hAnsi="Arial" w:cs="Arial"/>
          <w:sz w:val="22"/>
          <w:szCs w:val="22"/>
        </w:rPr>
        <w:t xml:space="preserve"> of mitigation costs of renewable energy technologies. Based on estimated reductions of CO2 emissions over the course of a </w:t>
      </w:r>
      <w:r w:rsidR="007C1E4B" w:rsidRPr="0036083D">
        <w:rPr>
          <w:rFonts w:ascii="Arial" w:hAnsi="Arial" w:cs="Arial"/>
          <w:sz w:val="22"/>
          <w:szCs w:val="22"/>
        </w:rPr>
        <w:t>25</w:t>
      </w:r>
      <w:r w:rsidRPr="0036083D">
        <w:rPr>
          <w:rFonts w:ascii="Arial" w:hAnsi="Arial" w:cs="Arial"/>
          <w:sz w:val="22"/>
          <w:szCs w:val="22"/>
        </w:rPr>
        <w:t xml:space="preserve"> year lifetime of projects financed, and using indicative total resources of US$</w:t>
      </w:r>
      <w:r w:rsidR="007C1E4B" w:rsidRPr="0036083D">
        <w:rPr>
          <w:rFonts w:ascii="Arial" w:hAnsi="Arial" w:cs="Arial"/>
          <w:sz w:val="22"/>
          <w:szCs w:val="22"/>
        </w:rPr>
        <w:t>28</w:t>
      </w:r>
      <w:r w:rsidRPr="0036083D">
        <w:rPr>
          <w:rFonts w:ascii="Arial" w:hAnsi="Arial" w:cs="Arial"/>
          <w:sz w:val="22"/>
          <w:szCs w:val="22"/>
        </w:rPr>
        <w:t xml:space="preserve"> million from the </w:t>
      </w:r>
      <w:r w:rsidRPr="0036083D">
        <w:rPr>
          <w:rFonts w:ascii="Arial" w:hAnsi="Arial" w:cs="Arial"/>
          <w:sz w:val="22"/>
          <w:szCs w:val="22"/>
        </w:rPr>
        <w:lastRenderedPageBreak/>
        <w:t>CTF</w:t>
      </w:r>
      <w:r w:rsidR="007C1E4B" w:rsidRPr="0036083D">
        <w:rPr>
          <w:rFonts w:ascii="Arial" w:hAnsi="Arial" w:cs="Arial"/>
          <w:sz w:val="22"/>
          <w:szCs w:val="22"/>
        </w:rPr>
        <w:t xml:space="preserve">, </w:t>
      </w:r>
      <w:proofErr w:type="spellStart"/>
      <w:r w:rsidR="007C1E4B" w:rsidRPr="0036083D">
        <w:rPr>
          <w:rFonts w:ascii="Arial" w:hAnsi="Arial" w:cs="Arial"/>
          <w:sz w:val="22"/>
          <w:szCs w:val="22"/>
        </w:rPr>
        <w:t>Bancoldex</w:t>
      </w:r>
      <w:proofErr w:type="spellEnd"/>
      <w:r w:rsidR="007C1E4B" w:rsidRPr="0036083D">
        <w:rPr>
          <w:rFonts w:ascii="Arial" w:hAnsi="Arial" w:cs="Arial"/>
          <w:sz w:val="22"/>
          <w:szCs w:val="22"/>
        </w:rPr>
        <w:t xml:space="preserve"> and private sector</w:t>
      </w:r>
      <w:r w:rsidRPr="0036083D">
        <w:rPr>
          <w:rFonts w:ascii="Arial" w:hAnsi="Arial" w:cs="Arial"/>
          <w:sz w:val="22"/>
          <w:szCs w:val="22"/>
        </w:rPr>
        <w:t>, the cost of abatement is estimated at some: (i) US$</w:t>
      </w:r>
      <w:r w:rsidR="006C047B">
        <w:rPr>
          <w:rFonts w:ascii="Arial" w:hAnsi="Arial" w:cs="Arial"/>
          <w:sz w:val="22"/>
          <w:szCs w:val="22"/>
        </w:rPr>
        <w:t>9.08</w:t>
      </w:r>
      <w:r w:rsidRPr="0036083D">
        <w:rPr>
          <w:rFonts w:ascii="Arial" w:hAnsi="Arial" w:cs="Arial"/>
          <w:sz w:val="22"/>
          <w:szCs w:val="22"/>
        </w:rPr>
        <w:t xml:space="preserve"> per tCO2e considering CTF financing and (ii) US$</w:t>
      </w:r>
      <w:r w:rsidR="006C047B">
        <w:rPr>
          <w:rFonts w:ascii="Arial" w:hAnsi="Arial" w:cs="Arial"/>
          <w:sz w:val="22"/>
          <w:szCs w:val="22"/>
        </w:rPr>
        <w:t>26.2</w:t>
      </w:r>
      <w:r w:rsidRPr="0036083D">
        <w:rPr>
          <w:rFonts w:ascii="Arial" w:hAnsi="Arial" w:cs="Arial"/>
          <w:sz w:val="22"/>
          <w:szCs w:val="22"/>
        </w:rPr>
        <w:t xml:space="preserve"> when considering total program financing.</w:t>
      </w:r>
    </w:p>
    <w:p w14:paraId="73100ACD" w14:textId="77777777" w:rsidR="00F32067" w:rsidRPr="0036083D" w:rsidRDefault="00F32067" w:rsidP="0036083D">
      <w:pPr>
        <w:pStyle w:val="AutoNumpara"/>
        <w:numPr>
          <w:ilvl w:val="0"/>
          <w:numId w:val="0"/>
        </w:numPr>
        <w:spacing w:after="120" w:line="276" w:lineRule="auto"/>
        <w:ind w:left="720"/>
        <w:jc w:val="both"/>
        <w:rPr>
          <w:rFonts w:ascii="Arial" w:hAnsi="Arial" w:cs="Arial"/>
          <w:sz w:val="22"/>
          <w:szCs w:val="22"/>
        </w:rPr>
      </w:pPr>
    </w:p>
    <w:p w14:paraId="6A970DFE" w14:textId="77777777" w:rsidR="00C14D69" w:rsidRPr="0036083D" w:rsidRDefault="00C14D69" w:rsidP="0036083D">
      <w:pPr>
        <w:pStyle w:val="ListParagraph"/>
        <w:numPr>
          <w:ilvl w:val="0"/>
          <w:numId w:val="9"/>
        </w:numPr>
        <w:spacing w:after="120" w:line="276" w:lineRule="auto"/>
        <w:contextualSpacing w:val="0"/>
        <w:jc w:val="both"/>
        <w:rPr>
          <w:rFonts w:ascii="Arial" w:hAnsi="Arial" w:cs="Arial"/>
          <w:b/>
          <w:sz w:val="22"/>
          <w:szCs w:val="22"/>
        </w:rPr>
      </w:pPr>
      <w:r w:rsidRPr="0036083D">
        <w:rPr>
          <w:rFonts w:ascii="Arial" w:hAnsi="Arial" w:cs="Arial"/>
          <w:b/>
          <w:sz w:val="22"/>
          <w:szCs w:val="22"/>
        </w:rPr>
        <w:t>Key Outcome Indicators</w:t>
      </w:r>
    </w:p>
    <w:p w14:paraId="4000B0C0" w14:textId="39CEB54B" w:rsidR="00F46CC1" w:rsidRPr="0036083D" w:rsidRDefault="00F46CC1" w:rsidP="0036083D">
      <w:pPr>
        <w:pStyle w:val="AutoNumpara"/>
        <w:spacing w:after="120" w:line="276" w:lineRule="auto"/>
        <w:jc w:val="both"/>
        <w:rPr>
          <w:rFonts w:ascii="Arial" w:hAnsi="Arial" w:cs="Arial"/>
          <w:sz w:val="22"/>
          <w:szCs w:val="22"/>
        </w:rPr>
      </w:pPr>
      <w:r w:rsidRPr="0036083D">
        <w:rPr>
          <w:rFonts w:ascii="Arial" w:hAnsi="Arial" w:cs="Arial"/>
          <w:sz w:val="22"/>
          <w:szCs w:val="22"/>
        </w:rPr>
        <w:t xml:space="preserve">The proposed </w:t>
      </w:r>
      <w:r w:rsidR="005764B8" w:rsidRPr="0036083D">
        <w:rPr>
          <w:rFonts w:ascii="Arial" w:hAnsi="Arial" w:cs="Arial"/>
          <w:sz w:val="22"/>
          <w:szCs w:val="22"/>
        </w:rPr>
        <w:t xml:space="preserve">outcome </w:t>
      </w:r>
      <w:r w:rsidRPr="0036083D">
        <w:rPr>
          <w:rFonts w:ascii="Arial" w:hAnsi="Arial" w:cs="Arial"/>
          <w:sz w:val="22"/>
          <w:szCs w:val="22"/>
        </w:rPr>
        <w:t xml:space="preserve">indicators and their corresponding description, frequency of measurement and means of verification </w:t>
      </w:r>
      <w:proofErr w:type="gramStart"/>
      <w:r w:rsidRPr="0036083D">
        <w:rPr>
          <w:rFonts w:ascii="Arial" w:hAnsi="Arial" w:cs="Arial"/>
          <w:sz w:val="22"/>
          <w:szCs w:val="22"/>
        </w:rPr>
        <w:t>are listed</w:t>
      </w:r>
      <w:proofErr w:type="gramEnd"/>
      <w:r w:rsidRPr="0036083D">
        <w:rPr>
          <w:rFonts w:ascii="Arial" w:hAnsi="Arial" w:cs="Arial"/>
          <w:sz w:val="22"/>
          <w:szCs w:val="22"/>
        </w:rPr>
        <w:t xml:space="preserve"> in Table </w:t>
      </w:r>
      <w:r w:rsidR="00703CE2" w:rsidRPr="0036083D">
        <w:rPr>
          <w:rFonts w:ascii="Arial" w:hAnsi="Arial" w:cs="Arial"/>
          <w:sz w:val="22"/>
          <w:szCs w:val="22"/>
        </w:rPr>
        <w:t>2</w:t>
      </w:r>
      <w:r w:rsidRPr="0036083D">
        <w:rPr>
          <w:rFonts w:ascii="Arial" w:hAnsi="Arial" w:cs="Arial"/>
          <w:sz w:val="22"/>
          <w:szCs w:val="22"/>
        </w:rPr>
        <w:t>.1</w:t>
      </w:r>
      <w:r w:rsidR="00703CE2" w:rsidRPr="0036083D">
        <w:rPr>
          <w:rFonts w:ascii="Arial" w:hAnsi="Arial" w:cs="Arial"/>
          <w:sz w:val="22"/>
          <w:szCs w:val="22"/>
        </w:rPr>
        <w:t>.</w:t>
      </w:r>
      <w:r w:rsidR="005764B8" w:rsidRPr="0036083D">
        <w:rPr>
          <w:rFonts w:ascii="Arial" w:hAnsi="Arial" w:cs="Arial"/>
          <w:sz w:val="22"/>
          <w:szCs w:val="22"/>
        </w:rPr>
        <w:t xml:space="preserve"> All of their registered values during the execution of the program </w:t>
      </w:r>
      <w:proofErr w:type="gramStart"/>
      <w:r w:rsidR="005764B8" w:rsidRPr="0036083D">
        <w:rPr>
          <w:rFonts w:ascii="Arial" w:hAnsi="Arial" w:cs="Arial"/>
          <w:sz w:val="22"/>
          <w:szCs w:val="22"/>
        </w:rPr>
        <w:t>will be used</w:t>
      </w:r>
      <w:proofErr w:type="gramEnd"/>
      <w:r w:rsidR="005764B8" w:rsidRPr="0036083D">
        <w:rPr>
          <w:rFonts w:ascii="Arial" w:hAnsi="Arial" w:cs="Arial"/>
          <w:sz w:val="22"/>
          <w:szCs w:val="22"/>
        </w:rPr>
        <w:t xml:space="preserve"> as an input for the evaluation.</w:t>
      </w:r>
    </w:p>
    <w:p w14:paraId="758989AB" w14:textId="77777777" w:rsidR="00275771" w:rsidRPr="0036083D" w:rsidRDefault="00275771" w:rsidP="0036083D">
      <w:pPr>
        <w:pStyle w:val="AutoNumpara"/>
        <w:numPr>
          <w:ilvl w:val="0"/>
          <w:numId w:val="0"/>
        </w:numPr>
        <w:spacing w:after="120" w:line="276" w:lineRule="auto"/>
        <w:ind w:left="720"/>
        <w:jc w:val="both"/>
        <w:rPr>
          <w:rFonts w:ascii="Arial" w:hAnsi="Arial" w:cs="Arial"/>
          <w:sz w:val="22"/>
          <w:szCs w:val="22"/>
        </w:rPr>
      </w:pPr>
    </w:p>
    <w:p w14:paraId="6BCB9280" w14:textId="77777777" w:rsidR="00C14D69" w:rsidRPr="0036083D" w:rsidRDefault="00C14D69" w:rsidP="0036083D">
      <w:pPr>
        <w:pStyle w:val="ListParagraph"/>
        <w:numPr>
          <w:ilvl w:val="0"/>
          <w:numId w:val="9"/>
        </w:numPr>
        <w:spacing w:after="120" w:line="276" w:lineRule="auto"/>
        <w:contextualSpacing w:val="0"/>
        <w:jc w:val="both"/>
        <w:rPr>
          <w:rFonts w:ascii="Arial" w:hAnsi="Arial" w:cs="Arial"/>
          <w:b/>
          <w:sz w:val="22"/>
          <w:szCs w:val="22"/>
        </w:rPr>
      </w:pPr>
      <w:r w:rsidRPr="0036083D">
        <w:rPr>
          <w:rFonts w:ascii="Arial" w:hAnsi="Arial" w:cs="Arial"/>
          <w:b/>
          <w:sz w:val="22"/>
          <w:szCs w:val="22"/>
        </w:rPr>
        <w:t>Evaluation Methodology</w:t>
      </w:r>
    </w:p>
    <w:p w14:paraId="7EB61706" w14:textId="04351B91" w:rsidR="0010439B" w:rsidRPr="0036083D" w:rsidRDefault="0010439B" w:rsidP="0036083D">
      <w:pPr>
        <w:pStyle w:val="AutoNumpara"/>
        <w:spacing w:after="120" w:line="276" w:lineRule="auto"/>
        <w:jc w:val="both"/>
        <w:rPr>
          <w:rFonts w:ascii="Arial" w:hAnsi="Arial" w:cs="Arial"/>
          <w:sz w:val="22"/>
          <w:szCs w:val="22"/>
        </w:rPr>
      </w:pPr>
      <w:r w:rsidRPr="0036083D">
        <w:rPr>
          <w:rFonts w:ascii="Arial" w:hAnsi="Arial" w:cs="Arial"/>
          <w:sz w:val="22"/>
          <w:szCs w:val="22"/>
        </w:rPr>
        <w:t xml:space="preserve">Given the scale and nature of the program, it </w:t>
      </w:r>
      <w:proofErr w:type="gramStart"/>
      <w:r w:rsidRPr="0036083D">
        <w:rPr>
          <w:rFonts w:ascii="Arial" w:hAnsi="Arial" w:cs="Arial"/>
          <w:sz w:val="22"/>
          <w:szCs w:val="22"/>
        </w:rPr>
        <w:t>is expected</w:t>
      </w:r>
      <w:proofErr w:type="gramEnd"/>
      <w:r w:rsidRPr="0036083D">
        <w:rPr>
          <w:rFonts w:ascii="Arial" w:hAnsi="Arial" w:cs="Arial"/>
          <w:sz w:val="22"/>
          <w:szCs w:val="22"/>
        </w:rPr>
        <w:t xml:space="preserve"> that only a small number of operators and technology providers will be among the</w:t>
      </w:r>
      <w:r w:rsidR="001B4B7E" w:rsidRPr="0036083D">
        <w:rPr>
          <w:rFonts w:ascii="Arial" w:hAnsi="Arial" w:cs="Arial"/>
          <w:sz w:val="22"/>
          <w:szCs w:val="22"/>
        </w:rPr>
        <w:t xml:space="preserve"> beneficiaries</w:t>
      </w:r>
      <w:r w:rsidRPr="0036083D">
        <w:rPr>
          <w:rFonts w:ascii="Arial" w:hAnsi="Arial" w:cs="Arial"/>
          <w:sz w:val="22"/>
          <w:szCs w:val="22"/>
        </w:rPr>
        <w:t xml:space="preserve">. For this reason, the number of observations collected will not provide a sample size with enough power to make reliable statistical inferences of the program’s attribution. </w:t>
      </w:r>
      <w:r w:rsidR="001B4B7E" w:rsidRPr="0036083D">
        <w:rPr>
          <w:rFonts w:ascii="Arial" w:hAnsi="Arial" w:cs="Arial"/>
          <w:sz w:val="22"/>
          <w:szCs w:val="22"/>
        </w:rPr>
        <w:t>However, given the availability of information of costs, generation and emissions factors, it is feasible to implement a cost-benefit analysis that will account for economic and environmental benefits of the program.</w:t>
      </w:r>
    </w:p>
    <w:p w14:paraId="747EDC21" w14:textId="3BFCA228" w:rsidR="0010439B" w:rsidRPr="0036083D" w:rsidRDefault="001B4B7E" w:rsidP="0036083D">
      <w:pPr>
        <w:pStyle w:val="AutoNumpara"/>
        <w:spacing w:after="120" w:line="276" w:lineRule="auto"/>
        <w:jc w:val="both"/>
        <w:rPr>
          <w:rFonts w:ascii="Arial" w:hAnsi="Arial" w:cs="Arial"/>
          <w:sz w:val="22"/>
          <w:szCs w:val="22"/>
        </w:rPr>
      </w:pPr>
      <w:r w:rsidRPr="0036083D">
        <w:rPr>
          <w:rFonts w:ascii="Arial" w:hAnsi="Arial" w:cs="Arial"/>
          <w:sz w:val="22"/>
          <w:szCs w:val="22"/>
        </w:rPr>
        <w:t>Hence, t</w:t>
      </w:r>
      <w:r w:rsidR="0010439B" w:rsidRPr="0036083D">
        <w:rPr>
          <w:rFonts w:ascii="Arial" w:hAnsi="Arial" w:cs="Arial"/>
          <w:sz w:val="22"/>
          <w:szCs w:val="22"/>
        </w:rPr>
        <w:t>he evaluation will follow an ex-post cost-benefit analysis based on the ex-ante model, but replacing estimates and projections with measured data and measured structural parameters when information availability allows it. It will also rely on additional data gathering activities that will help construct a counterfactual that reflects to the best possible extent the scenario had the project was not implemented.</w:t>
      </w:r>
    </w:p>
    <w:p w14:paraId="56E1B54E" w14:textId="6FEF2429" w:rsidR="00E13DAA" w:rsidRPr="0036083D" w:rsidRDefault="00815DE1" w:rsidP="0036083D">
      <w:pPr>
        <w:pStyle w:val="AutoNumpara"/>
        <w:spacing w:after="120" w:line="276" w:lineRule="auto"/>
        <w:jc w:val="both"/>
        <w:rPr>
          <w:rFonts w:ascii="Arial" w:hAnsi="Arial" w:cs="Arial"/>
          <w:sz w:val="22"/>
          <w:szCs w:val="22"/>
        </w:rPr>
      </w:pPr>
      <w:r w:rsidRPr="0036083D">
        <w:rPr>
          <w:rFonts w:ascii="Arial" w:hAnsi="Arial" w:cs="Arial"/>
          <w:sz w:val="22"/>
          <w:szCs w:val="22"/>
        </w:rPr>
        <w:t xml:space="preserve">For the analysis, the Net Present Value (NPV) and the Internal Rate of Return (IRR) </w:t>
      </w:r>
      <w:proofErr w:type="gramStart"/>
      <w:r w:rsidR="002C1C49" w:rsidRPr="0036083D">
        <w:rPr>
          <w:rFonts w:ascii="Arial" w:hAnsi="Arial" w:cs="Arial"/>
          <w:sz w:val="22"/>
          <w:szCs w:val="22"/>
        </w:rPr>
        <w:t xml:space="preserve">will be </w:t>
      </w:r>
      <w:r w:rsidRPr="0036083D">
        <w:rPr>
          <w:rFonts w:ascii="Arial" w:hAnsi="Arial" w:cs="Arial"/>
          <w:sz w:val="22"/>
          <w:szCs w:val="22"/>
        </w:rPr>
        <w:t>calculated</w:t>
      </w:r>
      <w:proofErr w:type="gramEnd"/>
      <w:r w:rsidRPr="0036083D">
        <w:rPr>
          <w:rFonts w:ascii="Arial" w:hAnsi="Arial" w:cs="Arial"/>
          <w:sz w:val="22"/>
          <w:szCs w:val="22"/>
        </w:rPr>
        <w:t xml:space="preserve"> for the lifespan of the </w:t>
      </w:r>
      <w:r w:rsidR="002C1C49" w:rsidRPr="0036083D">
        <w:rPr>
          <w:rFonts w:ascii="Arial" w:hAnsi="Arial" w:cs="Arial"/>
          <w:sz w:val="22"/>
          <w:szCs w:val="22"/>
        </w:rPr>
        <w:t>plants financed by the program</w:t>
      </w:r>
      <w:r w:rsidRPr="0036083D">
        <w:rPr>
          <w:rFonts w:ascii="Arial" w:hAnsi="Arial" w:cs="Arial"/>
          <w:sz w:val="22"/>
          <w:szCs w:val="22"/>
        </w:rPr>
        <w:t xml:space="preserve"> at a rate of 12%. This requires establishing the costs</w:t>
      </w:r>
      <w:r w:rsidR="002C1C49" w:rsidRPr="0036083D">
        <w:rPr>
          <w:rFonts w:ascii="Arial" w:hAnsi="Arial" w:cs="Arial"/>
          <w:sz w:val="22"/>
          <w:szCs w:val="22"/>
        </w:rPr>
        <w:t xml:space="preserve"> savings </w:t>
      </w:r>
      <w:r w:rsidRPr="0036083D">
        <w:rPr>
          <w:rFonts w:ascii="Arial" w:hAnsi="Arial" w:cs="Arial"/>
          <w:sz w:val="22"/>
          <w:szCs w:val="22"/>
        </w:rPr>
        <w:t xml:space="preserve">and </w:t>
      </w:r>
      <w:r w:rsidR="002C1C49" w:rsidRPr="0036083D">
        <w:rPr>
          <w:rFonts w:ascii="Arial" w:hAnsi="Arial" w:cs="Arial"/>
          <w:sz w:val="22"/>
          <w:szCs w:val="22"/>
        </w:rPr>
        <w:t xml:space="preserve">environmental </w:t>
      </w:r>
      <w:r w:rsidRPr="0036083D">
        <w:rPr>
          <w:rFonts w:ascii="Arial" w:hAnsi="Arial" w:cs="Arial"/>
          <w:sz w:val="22"/>
          <w:szCs w:val="22"/>
        </w:rPr>
        <w:t>benefit</w:t>
      </w:r>
      <w:r w:rsidR="002C1C49" w:rsidRPr="0036083D">
        <w:rPr>
          <w:rFonts w:ascii="Arial" w:hAnsi="Arial" w:cs="Arial"/>
          <w:sz w:val="22"/>
          <w:szCs w:val="22"/>
        </w:rPr>
        <w:t>s</w:t>
      </w:r>
      <w:r w:rsidRPr="0036083D">
        <w:rPr>
          <w:rFonts w:ascii="Arial" w:hAnsi="Arial" w:cs="Arial"/>
          <w:sz w:val="22"/>
          <w:szCs w:val="22"/>
        </w:rPr>
        <w:t xml:space="preserve"> flows for the project </w:t>
      </w:r>
      <w:r w:rsidR="002C1C49" w:rsidRPr="0036083D">
        <w:rPr>
          <w:rFonts w:ascii="Arial" w:hAnsi="Arial" w:cs="Arial"/>
          <w:sz w:val="22"/>
          <w:szCs w:val="22"/>
        </w:rPr>
        <w:t>measured against a counterfactual scenario</w:t>
      </w:r>
      <w:r w:rsidRPr="0036083D">
        <w:rPr>
          <w:rFonts w:ascii="Arial" w:hAnsi="Arial" w:cs="Arial"/>
          <w:sz w:val="22"/>
          <w:szCs w:val="22"/>
        </w:rPr>
        <w:t xml:space="preserve">. </w:t>
      </w:r>
      <w:r w:rsidR="00FD58EA" w:rsidRPr="0036083D">
        <w:rPr>
          <w:rFonts w:ascii="Arial" w:hAnsi="Arial" w:cs="Arial"/>
          <w:sz w:val="22"/>
          <w:szCs w:val="22"/>
        </w:rPr>
        <w:t>For cost calculations, t</w:t>
      </w:r>
      <w:r w:rsidRPr="0036083D">
        <w:rPr>
          <w:rFonts w:ascii="Arial" w:hAnsi="Arial" w:cs="Arial"/>
          <w:sz w:val="22"/>
          <w:szCs w:val="22"/>
        </w:rPr>
        <w:t xml:space="preserve">he </w:t>
      </w:r>
      <w:r w:rsidR="00E43EC6" w:rsidRPr="0036083D">
        <w:rPr>
          <w:rFonts w:ascii="Arial" w:hAnsi="Arial" w:cs="Arial"/>
          <w:sz w:val="22"/>
          <w:szCs w:val="22"/>
        </w:rPr>
        <w:t xml:space="preserve">representative plant of the program </w:t>
      </w:r>
      <w:proofErr w:type="gramStart"/>
      <w:r w:rsidRPr="0036083D">
        <w:rPr>
          <w:rFonts w:ascii="Arial" w:hAnsi="Arial" w:cs="Arial"/>
          <w:sz w:val="22"/>
          <w:szCs w:val="22"/>
        </w:rPr>
        <w:t>will be defined</w:t>
      </w:r>
      <w:proofErr w:type="gramEnd"/>
      <w:r w:rsidRPr="0036083D">
        <w:rPr>
          <w:rFonts w:ascii="Arial" w:hAnsi="Arial" w:cs="Arial"/>
          <w:sz w:val="22"/>
          <w:szCs w:val="22"/>
        </w:rPr>
        <w:t xml:space="preserve"> as in the ex-ante analysis: a representative plant </w:t>
      </w:r>
      <w:r w:rsidR="00E43EC6" w:rsidRPr="0036083D">
        <w:rPr>
          <w:rFonts w:ascii="Arial" w:hAnsi="Arial" w:cs="Arial"/>
          <w:sz w:val="22"/>
          <w:szCs w:val="22"/>
        </w:rPr>
        <w:t>consisting of weighted</w:t>
      </w:r>
      <w:r w:rsidRPr="0036083D">
        <w:rPr>
          <w:rFonts w:ascii="Arial" w:hAnsi="Arial" w:cs="Arial"/>
          <w:sz w:val="22"/>
          <w:szCs w:val="22"/>
        </w:rPr>
        <w:t xml:space="preserve"> </w:t>
      </w:r>
      <w:r w:rsidR="00E43EC6" w:rsidRPr="0036083D">
        <w:rPr>
          <w:rFonts w:ascii="Arial" w:hAnsi="Arial" w:cs="Arial"/>
          <w:sz w:val="22"/>
          <w:szCs w:val="22"/>
        </w:rPr>
        <w:t xml:space="preserve">average </w:t>
      </w:r>
      <w:r w:rsidRPr="0036083D">
        <w:rPr>
          <w:rFonts w:ascii="Arial" w:hAnsi="Arial" w:cs="Arial"/>
          <w:sz w:val="22"/>
          <w:szCs w:val="22"/>
        </w:rPr>
        <w:t xml:space="preserve">costs. The weights will be equal to the share of participation of each </w:t>
      </w:r>
      <w:r w:rsidR="00E43EC6" w:rsidRPr="0036083D">
        <w:rPr>
          <w:rFonts w:ascii="Arial" w:hAnsi="Arial" w:cs="Arial"/>
          <w:sz w:val="22"/>
          <w:szCs w:val="22"/>
        </w:rPr>
        <w:t xml:space="preserve">renewable </w:t>
      </w:r>
      <w:r w:rsidRPr="0036083D">
        <w:rPr>
          <w:rFonts w:ascii="Arial" w:hAnsi="Arial" w:cs="Arial"/>
          <w:sz w:val="22"/>
          <w:szCs w:val="22"/>
        </w:rPr>
        <w:t xml:space="preserve">technology </w:t>
      </w:r>
      <w:r w:rsidR="00E43EC6" w:rsidRPr="0036083D">
        <w:rPr>
          <w:rFonts w:ascii="Arial" w:hAnsi="Arial" w:cs="Arial"/>
          <w:sz w:val="22"/>
          <w:szCs w:val="22"/>
        </w:rPr>
        <w:t xml:space="preserve">that was actually financed by the program </w:t>
      </w:r>
      <w:r w:rsidRPr="0036083D">
        <w:rPr>
          <w:rFonts w:ascii="Arial" w:hAnsi="Arial" w:cs="Arial"/>
          <w:sz w:val="22"/>
          <w:szCs w:val="22"/>
        </w:rPr>
        <w:t>(</w:t>
      </w:r>
      <w:r w:rsidR="00E43EC6" w:rsidRPr="0036083D">
        <w:rPr>
          <w:rFonts w:ascii="Arial" w:hAnsi="Arial" w:cs="Arial"/>
          <w:sz w:val="22"/>
          <w:szCs w:val="22"/>
        </w:rPr>
        <w:t>solar, hybrid, biomass, small hydroelectric, etc.</w:t>
      </w:r>
      <w:r w:rsidRPr="0036083D">
        <w:rPr>
          <w:rFonts w:ascii="Arial" w:hAnsi="Arial" w:cs="Arial"/>
          <w:sz w:val="22"/>
          <w:szCs w:val="22"/>
        </w:rPr>
        <w:t>). The weights, as well as costs</w:t>
      </w:r>
      <w:r w:rsidR="00E43EC6" w:rsidRPr="0036083D">
        <w:rPr>
          <w:rFonts w:ascii="Arial" w:hAnsi="Arial" w:cs="Arial"/>
          <w:sz w:val="22"/>
          <w:szCs w:val="22"/>
        </w:rPr>
        <w:t xml:space="preserve"> and power generation</w:t>
      </w:r>
      <w:r w:rsidRPr="0036083D">
        <w:rPr>
          <w:rFonts w:ascii="Arial" w:hAnsi="Arial" w:cs="Arial"/>
          <w:sz w:val="22"/>
          <w:szCs w:val="22"/>
        </w:rPr>
        <w:t xml:space="preserve"> data used for the analysis </w:t>
      </w:r>
      <w:proofErr w:type="gramStart"/>
      <w:r w:rsidRPr="0036083D">
        <w:rPr>
          <w:rFonts w:ascii="Arial" w:hAnsi="Arial" w:cs="Arial"/>
          <w:sz w:val="22"/>
          <w:szCs w:val="22"/>
        </w:rPr>
        <w:t>should be updated</w:t>
      </w:r>
      <w:proofErr w:type="gramEnd"/>
      <w:r w:rsidRPr="0036083D">
        <w:rPr>
          <w:rFonts w:ascii="Arial" w:hAnsi="Arial" w:cs="Arial"/>
          <w:sz w:val="22"/>
          <w:szCs w:val="22"/>
        </w:rPr>
        <w:t xml:space="preserve"> yearly in order to account for the evolution of the </w:t>
      </w:r>
      <w:r w:rsidR="00E43EC6" w:rsidRPr="0036083D">
        <w:rPr>
          <w:rFonts w:ascii="Arial" w:hAnsi="Arial" w:cs="Arial"/>
          <w:sz w:val="22"/>
          <w:szCs w:val="22"/>
        </w:rPr>
        <w:t xml:space="preserve">representative plant </w:t>
      </w:r>
      <w:r w:rsidRPr="0036083D">
        <w:rPr>
          <w:rFonts w:ascii="Arial" w:hAnsi="Arial" w:cs="Arial"/>
          <w:sz w:val="22"/>
          <w:szCs w:val="22"/>
        </w:rPr>
        <w:t xml:space="preserve">during the </w:t>
      </w:r>
      <w:r w:rsidR="00E43EC6" w:rsidRPr="0036083D">
        <w:rPr>
          <w:rFonts w:ascii="Arial" w:hAnsi="Arial" w:cs="Arial"/>
          <w:sz w:val="22"/>
          <w:szCs w:val="22"/>
        </w:rPr>
        <w:t xml:space="preserve">four </w:t>
      </w:r>
      <w:r w:rsidRPr="0036083D">
        <w:rPr>
          <w:rFonts w:ascii="Arial" w:hAnsi="Arial" w:cs="Arial"/>
          <w:sz w:val="22"/>
          <w:szCs w:val="22"/>
        </w:rPr>
        <w:t xml:space="preserve">years of execution. From year </w:t>
      </w:r>
      <w:r w:rsidR="00E43EC6" w:rsidRPr="0036083D">
        <w:rPr>
          <w:rFonts w:ascii="Arial" w:hAnsi="Arial" w:cs="Arial"/>
          <w:sz w:val="22"/>
          <w:szCs w:val="22"/>
        </w:rPr>
        <w:t xml:space="preserve">fourth </w:t>
      </w:r>
      <w:r w:rsidRPr="0036083D">
        <w:rPr>
          <w:rFonts w:ascii="Arial" w:hAnsi="Arial" w:cs="Arial"/>
          <w:sz w:val="22"/>
          <w:szCs w:val="22"/>
        </w:rPr>
        <w:t xml:space="preserve">onwards, projected values for the main variables </w:t>
      </w:r>
      <w:proofErr w:type="gramStart"/>
      <w:r w:rsidRPr="0036083D">
        <w:rPr>
          <w:rFonts w:ascii="Arial" w:hAnsi="Arial" w:cs="Arial"/>
          <w:sz w:val="22"/>
          <w:szCs w:val="22"/>
        </w:rPr>
        <w:t>will be used</w:t>
      </w:r>
      <w:proofErr w:type="gramEnd"/>
      <w:r w:rsidR="00E43EC6" w:rsidRPr="0036083D">
        <w:rPr>
          <w:rFonts w:ascii="Arial" w:hAnsi="Arial" w:cs="Arial"/>
          <w:sz w:val="22"/>
          <w:szCs w:val="22"/>
        </w:rPr>
        <w:t xml:space="preserve"> until the model reaches the expected end of the lifespan of the financed technologies, which is about 25 years</w:t>
      </w:r>
      <w:r w:rsidRPr="0036083D">
        <w:rPr>
          <w:rFonts w:ascii="Arial" w:hAnsi="Arial" w:cs="Arial"/>
          <w:sz w:val="22"/>
          <w:szCs w:val="22"/>
        </w:rPr>
        <w:t xml:space="preserve">. </w:t>
      </w:r>
    </w:p>
    <w:p w14:paraId="14D6E1E7" w14:textId="230CB118" w:rsidR="00815DE1" w:rsidRPr="00504E94" w:rsidRDefault="00E13DAA" w:rsidP="0036083D">
      <w:pPr>
        <w:pStyle w:val="AutoNumpara"/>
        <w:spacing w:after="120" w:line="276" w:lineRule="auto"/>
        <w:jc w:val="both"/>
        <w:rPr>
          <w:rFonts w:ascii="Arial" w:hAnsi="Arial" w:cs="Arial"/>
          <w:sz w:val="22"/>
          <w:szCs w:val="22"/>
        </w:rPr>
      </w:pPr>
      <w:proofErr w:type="gramStart"/>
      <w:r w:rsidRPr="0036083D">
        <w:rPr>
          <w:rFonts w:ascii="Arial" w:hAnsi="Arial" w:cs="Arial"/>
          <w:b/>
          <w:sz w:val="22"/>
          <w:szCs w:val="22"/>
        </w:rPr>
        <w:t>Counterfactual scenario.</w:t>
      </w:r>
      <w:proofErr w:type="gramEnd"/>
      <w:r w:rsidR="009A6E97" w:rsidRPr="0036083D">
        <w:rPr>
          <w:rFonts w:ascii="Arial" w:hAnsi="Arial" w:cs="Arial"/>
          <w:sz w:val="22"/>
          <w:szCs w:val="22"/>
        </w:rPr>
        <w:t xml:space="preserve"> </w:t>
      </w:r>
      <w:r w:rsidRPr="0036083D">
        <w:rPr>
          <w:rFonts w:ascii="Arial" w:hAnsi="Arial" w:cs="Arial"/>
          <w:sz w:val="22"/>
          <w:szCs w:val="22"/>
        </w:rPr>
        <w:t xml:space="preserve">The counterfactual scenario that </w:t>
      </w:r>
      <w:proofErr w:type="gramStart"/>
      <w:r w:rsidRPr="0036083D">
        <w:rPr>
          <w:rFonts w:ascii="Arial" w:hAnsi="Arial" w:cs="Arial"/>
          <w:sz w:val="22"/>
          <w:szCs w:val="22"/>
        </w:rPr>
        <w:t>will be used</w:t>
      </w:r>
      <w:proofErr w:type="gramEnd"/>
      <w:r w:rsidRPr="0036083D">
        <w:rPr>
          <w:rFonts w:ascii="Arial" w:hAnsi="Arial" w:cs="Arial"/>
          <w:sz w:val="22"/>
          <w:szCs w:val="22"/>
        </w:rPr>
        <w:t xml:space="preserve"> for the analysis will consist o</w:t>
      </w:r>
      <w:r w:rsidR="0050254E">
        <w:rPr>
          <w:rFonts w:ascii="Arial" w:hAnsi="Arial" w:cs="Arial"/>
          <w:sz w:val="22"/>
          <w:szCs w:val="22"/>
        </w:rPr>
        <w:t>f</w:t>
      </w:r>
      <w:r w:rsidRPr="0036083D">
        <w:rPr>
          <w:rFonts w:ascii="Arial" w:hAnsi="Arial" w:cs="Arial"/>
          <w:sz w:val="22"/>
          <w:szCs w:val="22"/>
        </w:rPr>
        <w:t xml:space="preserve"> information from selected non-beneficiaries of the </w:t>
      </w:r>
      <w:r w:rsidRPr="0036083D">
        <w:rPr>
          <w:rFonts w:ascii="Arial" w:hAnsi="Arial" w:cs="Arial"/>
          <w:sz w:val="22"/>
          <w:szCs w:val="22"/>
        </w:rPr>
        <w:lastRenderedPageBreak/>
        <w:t xml:space="preserve">program. The selection </w:t>
      </w:r>
      <w:proofErr w:type="gramStart"/>
      <w:r w:rsidRPr="0036083D">
        <w:rPr>
          <w:rFonts w:ascii="Arial" w:hAnsi="Arial" w:cs="Arial"/>
          <w:sz w:val="22"/>
          <w:szCs w:val="22"/>
        </w:rPr>
        <w:t>will be made</w:t>
      </w:r>
      <w:proofErr w:type="gramEnd"/>
      <w:r w:rsidRPr="0036083D">
        <w:rPr>
          <w:rFonts w:ascii="Arial" w:hAnsi="Arial" w:cs="Arial"/>
          <w:sz w:val="22"/>
          <w:szCs w:val="22"/>
        </w:rPr>
        <w:t xml:space="preserve"> among t</w:t>
      </w:r>
      <w:r w:rsidR="00A20AF3" w:rsidRPr="0036083D">
        <w:rPr>
          <w:rFonts w:ascii="Arial" w:hAnsi="Arial" w:cs="Arial"/>
          <w:sz w:val="22"/>
          <w:szCs w:val="22"/>
        </w:rPr>
        <w:t xml:space="preserve">he 37 operators that constituted the pool of potential beneficiaries used in the Economic Analysis and Analysis of Demand. Once the beneficiaries </w:t>
      </w:r>
      <w:proofErr w:type="gramStart"/>
      <w:r w:rsidR="00A20AF3" w:rsidRPr="0036083D">
        <w:rPr>
          <w:rFonts w:ascii="Arial" w:hAnsi="Arial" w:cs="Arial"/>
          <w:sz w:val="22"/>
          <w:szCs w:val="22"/>
        </w:rPr>
        <w:t>are known</w:t>
      </w:r>
      <w:proofErr w:type="gramEnd"/>
      <w:r w:rsidR="00A20AF3" w:rsidRPr="0036083D">
        <w:rPr>
          <w:rFonts w:ascii="Arial" w:hAnsi="Arial" w:cs="Arial"/>
          <w:sz w:val="22"/>
          <w:szCs w:val="22"/>
        </w:rPr>
        <w:t>, a group of non-beneficiaries will be selected based on similar characteristics to the beneficiaries</w:t>
      </w:r>
      <w:r w:rsidR="0050254E">
        <w:rPr>
          <w:rStyle w:val="FootnoteReference"/>
          <w:szCs w:val="22"/>
        </w:rPr>
        <w:footnoteReference w:id="6"/>
      </w:r>
      <w:r w:rsidR="00A20AF3" w:rsidRPr="0036083D">
        <w:rPr>
          <w:rFonts w:ascii="Arial" w:hAnsi="Arial" w:cs="Arial"/>
          <w:sz w:val="22"/>
          <w:szCs w:val="22"/>
        </w:rPr>
        <w:t xml:space="preserve">. If possible, and conditional to similar characteristics, the selection will prioritize operators whose credit applications </w:t>
      </w:r>
      <w:proofErr w:type="gramStart"/>
      <w:r w:rsidR="00A20AF3" w:rsidRPr="0036083D">
        <w:rPr>
          <w:rFonts w:ascii="Arial" w:hAnsi="Arial" w:cs="Arial"/>
          <w:sz w:val="22"/>
          <w:szCs w:val="22"/>
        </w:rPr>
        <w:t>were rejected</w:t>
      </w:r>
      <w:proofErr w:type="gramEnd"/>
      <w:r w:rsidR="0040578F">
        <w:rPr>
          <w:rStyle w:val="FootnoteReference"/>
          <w:szCs w:val="22"/>
        </w:rPr>
        <w:footnoteReference w:id="7"/>
      </w:r>
      <w:r w:rsidR="00A20AF3" w:rsidRPr="0036083D">
        <w:rPr>
          <w:rFonts w:ascii="Arial" w:hAnsi="Arial" w:cs="Arial"/>
          <w:sz w:val="22"/>
          <w:szCs w:val="22"/>
        </w:rPr>
        <w:t xml:space="preserve">. The information about power generation and costs from the non-beneficiaries </w:t>
      </w:r>
      <w:r w:rsidR="003C685B" w:rsidRPr="0036083D">
        <w:rPr>
          <w:rFonts w:ascii="Arial" w:hAnsi="Arial" w:cs="Arial"/>
          <w:sz w:val="22"/>
          <w:szCs w:val="22"/>
        </w:rPr>
        <w:t xml:space="preserve">will come from the information they regularly report to the energy and financial authorities. In case there is not enough data, interviews </w:t>
      </w:r>
      <w:proofErr w:type="gramStart"/>
      <w:r w:rsidR="003C685B" w:rsidRPr="0036083D">
        <w:rPr>
          <w:rFonts w:ascii="Arial" w:hAnsi="Arial" w:cs="Arial"/>
          <w:sz w:val="22"/>
          <w:szCs w:val="22"/>
        </w:rPr>
        <w:t>will be conducted</w:t>
      </w:r>
      <w:proofErr w:type="gramEnd"/>
      <w:r w:rsidR="003C685B" w:rsidRPr="0036083D">
        <w:rPr>
          <w:rFonts w:ascii="Arial" w:hAnsi="Arial" w:cs="Arial"/>
          <w:sz w:val="22"/>
          <w:szCs w:val="22"/>
        </w:rPr>
        <w:t xml:space="preserve"> with these operators</w:t>
      </w:r>
      <w:r w:rsidR="00504E94">
        <w:rPr>
          <w:rStyle w:val="FootnoteReference"/>
          <w:szCs w:val="22"/>
        </w:rPr>
        <w:footnoteReference w:id="8"/>
      </w:r>
      <w:r w:rsidR="003C685B" w:rsidRPr="0036083D">
        <w:rPr>
          <w:rFonts w:ascii="Arial" w:hAnsi="Arial" w:cs="Arial"/>
          <w:sz w:val="22"/>
          <w:szCs w:val="22"/>
        </w:rPr>
        <w:t xml:space="preserve">. </w:t>
      </w:r>
      <w:r w:rsidR="00690F40" w:rsidRPr="0036083D">
        <w:rPr>
          <w:rFonts w:ascii="Arial" w:hAnsi="Arial" w:cs="Arial"/>
          <w:sz w:val="22"/>
          <w:szCs w:val="22"/>
        </w:rPr>
        <w:t>Since the number of expected beneficiaries is small, this will not require significant budget and time allocation</w:t>
      </w:r>
      <w:r w:rsidR="00690F40" w:rsidRPr="00504E94">
        <w:rPr>
          <w:rFonts w:ascii="Arial" w:hAnsi="Arial" w:cs="Arial"/>
          <w:sz w:val="22"/>
          <w:szCs w:val="22"/>
        </w:rPr>
        <w:t>.</w:t>
      </w:r>
      <w:r w:rsidR="00504E94" w:rsidRPr="00504E94">
        <w:rPr>
          <w:rFonts w:ascii="Arial" w:hAnsi="Arial" w:cs="Arial"/>
          <w:sz w:val="22"/>
          <w:szCs w:val="22"/>
        </w:rPr>
        <w:t xml:space="preserve"> </w:t>
      </w:r>
      <w:r w:rsidR="00504E94" w:rsidRPr="00C31215">
        <w:rPr>
          <w:rFonts w:ascii="Arial" w:hAnsi="Arial" w:cs="Arial"/>
          <w:sz w:val="22"/>
          <w:szCs w:val="22"/>
        </w:rPr>
        <w:t xml:space="preserve">It is important to notice, that special attention will </w:t>
      </w:r>
      <w:r w:rsidR="00504E94">
        <w:rPr>
          <w:rFonts w:ascii="Arial" w:hAnsi="Arial" w:cs="Arial"/>
          <w:sz w:val="22"/>
          <w:szCs w:val="22"/>
        </w:rPr>
        <w:t>allocated</w:t>
      </w:r>
      <w:r w:rsidR="00504E94" w:rsidRPr="00C31215">
        <w:rPr>
          <w:rFonts w:ascii="Arial" w:hAnsi="Arial" w:cs="Arial"/>
          <w:sz w:val="22"/>
          <w:szCs w:val="22"/>
        </w:rPr>
        <w:t xml:space="preserve"> to account for investments in RE that </w:t>
      </w:r>
      <w:proofErr w:type="gramStart"/>
      <w:r w:rsidR="00504E94" w:rsidRPr="00C31215">
        <w:rPr>
          <w:rFonts w:ascii="Arial" w:hAnsi="Arial" w:cs="Arial"/>
          <w:sz w:val="22"/>
          <w:szCs w:val="22"/>
        </w:rPr>
        <w:t>were made</w:t>
      </w:r>
      <w:proofErr w:type="gramEnd"/>
      <w:r w:rsidR="00504E94" w:rsidRPr="00C31215">
        <w:rPr>
          <w:rFonts w:ascii="Arial" w:hAnsi="Arial" w:cs="Arial"/>
          <w:sz w:val="22"/>
          <w:szCs w:val="22"/>
        </w:rPr>
        <w:t xml:space="preserve"> by operators/investors that were not program beneficiaries in order to account for a more accurate counterfactual scenario.</w:t>
      </w:r>
    </w:p>
    <w:p w14:paraId="12A50841" w14:textId="77777777" w:rsidR="00815DE1" w:rsidRPr="0036083D" w:rsidRDefault="00F043A6" w:rsidP="0036083D">
      <w:pPr>
        <w:pStyle w:val="AutoNumpara"/>
        <w:spacing w:after="120" w:line="276" w:lineRule="auto"/>
        <w:jc w:val="both"/>
        <w:rPr>
          <w:rFonts w:ascii="Arial" w:hAnsi="Arial" w:cs="Arial"/>
          <w:sz w:val="22"/>
          <w:szCs w:val="22"/>
        </w:rPr>
      </w:pPr>
      <w:r w:rsidRPr="0036083D">
        <w:rPr>
          <w:rFonts w:ascii="Arial" w:hAnsi="Arial" w:cs="Arial"/>
          <w:sz w:val="22"/>
          <w:szCs w:val="22"/>
        </w:rPr>
        <w:t xml:space="preserve">Hence, the analysis will be based on the following </w:t>
      </w:r>
      <w:r w:rsidR="004A7606" w:rsidRPr="0036083D">
        <w:rPr>
          <w:rFonts w:ascii="Arial" w:hAnsi="Arial" w:cs="Arial"/>
          <w:sz w:val="22"/>
          <w:szCs w:val="22"/>
        </w:rPr>
        <w:t>calculations</w:t>
      </w:r>
      <w:r w:rsidRPr="0036083D">
        <w:rPr>
          <w:rFonts w:ascii="Arial" w:hAnsi="Arial" w:cs="Arial"/>
          <w:sz w:val="22"/>
          <w:szCs w:val="22"/>
        </w:rPr>
        <w:t>:</w:t>
      </w:r>
    </w:p>
    <w:p w14:paraId="603A54F7" w14:textId="34629062" w:rsidR="00FB54BF" w:rsidRPr="0036083D" w:rsidRDefault="00E13DAA" w:rsidP="0036083D">
      <w:pPr>
        <w:pStyle w:val="AutoNumpara"/>
        <w:numPr>
          <w:ilvl w:val="0"/>
          <w:numId w:val="10"/>
        </w:numPr>
        <w:spacing w:after="120" w:line="276" w:lineRule="auto"/>
        <w:jc w:val="both"/>
        <w:rPr>
          <w:rFonts w:ascii="Arial" w:hAnsi="Arial" w:cs="Arial"/>
          <w:b/>
          <w:sz w:val="22"/>
          <w:szCs w:val="22"/>
          <w:u w:val="single"/>
        </w:rPr>
      </w:pPr>
      <w:r w:rsidRPr="0036083D">
        <w:rPr>
          <w:rFonts w:ascii="Arial" w:hAnsi="Arial" w:cs="Arial"/>
          <w:b/>
          <w:sz w:val="22"/>
          <w:szCs w:val="22"/>
          <w:u w:val="single"/>
        </w:rPr>
        <w:t>Electricity Generation</w:t>
      </w:r>
    </w:p>
    <w:p w14:paraId="7CA4182C" w14:textId="5DD012EC" w:rsidR="00C6513E" w:rsidRPr="0036083D" w:rsidRDefault="00C6513E" w:rsidP="0036083D">
      <w:pPr>
        <w:pStyle w:val="AutoNumpara"/>
        <w:numPr>
          <w:ilvl w:val="1"/>
          <w:numId w:val="10"/>
        </w:numPr>
        <w:spacing w:after="120" w:line="276" w:lineRule="auto"/>
        <w:jc w:val="both"/>
        <w:rPr>
          <w:rFonts w:ascii="Arial" w:hAnsi="Arial" w:cs="Arial"/>
          <w:b/>
          <w:sz w:val="22"/>
          <w:szCs w:val="22"/>
          <w:u w:val="single"/>
        </w:rPr>
      </w:pPr>
      <w:r w:rsidRPr="0036083D">
        <w:rPr>
          <w:rFonts w:ascii="Arial" w:hAnsi="Arial" w:cs="Arial"/>
          <w:sz w:val="22"/>
          <w:szCs w:val="22"/>
          <w:u w:val="single"/>
        </w:rPr>
        <w:t>Recorded Generation</w:t>
      </w:r>
    </w:p>
    <w:p w14:paraId="5819EED5" w14:textId="3EA8E3DC" w:rsidR="00C6513E" w:rsidRPr="0036083D" w:rsidRDefault="00C6513E" w:rsidP="0036083D">
      <w:pPr>
        <w:pStyle w:val="AutoNumpara"/>
        <w:numPr>
          <w:ilvl w:val="0"/>
          <w:numId w:val="0"/>
        </w:numPr>
        <w:spacing w:after="120" w:line="276" w:lineRule="auto"/>
        <w:ind w:left="1440"/>
        <w:jc w:val="both"/>
        <w:rPr>
          <w:rFonts w:ascii="Arial" w:hAnsi="Arial" w:cs="Arial"/>
          <w:b/>
          <w:sz w:val="22"/>
          <w:szCs w:val="22"/>
        </w:rPr>
      </w:pPr>
      <w:r w:rsidRPr="0036083D">
        <w:rPr>
          <w:rFonts w:ascii="Arial" w:hAnsi="Arial" w:cs="Arial"/>
          <w:sz w:val="22"/>
          <w:szCs w:val="22"/>
        </w:rPr>
        <w:t xml:space="preserve">The information of power generation from plants financed by the program </w:t>
      </w:r>
      <w:proofErr w:type="gramStart"/>
      <w:r w:rsidRPr="0036083D">
        <w:rPr>
          <w:rFonts w:ascii="Arial" w:hAnsi="Arial" w:cs="Arial"/>
          <w:sz w:val="22"/>
          <w:szCs w:val="22"/>
        </w:rPr>
        <w:t>will be used</w:t>
      </w:r>
      <w:proofErr w:type="gramEnd"/>
      <w:r w:rsidRPr="0036083D">
        <w:rPr>
          <w:rFonts w:ascii="Arial" w:hAnsi="Arial" w:cs="Arial"/>
          <w:sz w:val="22"/>
          <w:szCs w:val="22"/>
        </w:rPr>
        <w:t xml:space="preserve"> for the first four years of the analysis. This information will come from the program’s monitoring.</w:t>
      </w:r>
      <w:r w:rsidR="00690F40" w:rsidRPr="0036083D">
        <w:rPr>
          <w:rFonts w:ascii="Arial" w:hAnsi="Arial" w:cs="Arial"/>
          <w:sz w:val="22"/>
          <w:szCs w:val="22"/>
        </w:rPr>
        <w:t xml:space="preserve"> For the counterfactual plants, the information of generation will come from their reported data to energy and financial authorities or, in </w:t>
      </w:r>
      <w:proofErr w:type="gramStart"/>
      <w:r w:rsidR="00690F40" w:rsidRPr="0036083D">
        <w:rPr>
          <w:rFonts w:ascii="Arial" w:hAnsi="Arial" w:cs="Arial"/>
          <w:sz w:val="22"/>
          <w:szCs w:val="22"/>
        </w:rPr>
        <w:t>case</w:t>
      </w:r>
      <w:proofErr w:type="gramEnd"/>
      <w:r w:rsidR="00690F40" w:rsidRPr="0036083D">
        <w:rPr>
          <w:rFonts w:ascii="Arial" w:hAnsi="Arial" w:cs="Arial"/>
          <w:sz w:val="22"/>
          <w:szCs w:val="22"/>
        </w:rPr>
        <w:t xml:space="preserve"> there is not enough information, from surveys conducted in the fourth year for the analysis.</w:t>
      </w:r>
    </w:p>
    <w:p w14:paraId="119A0C21" w14:textId="76C30419" w:rsidR="00C6513E" w:rsidRPr="0036083D" w:rsidRDefault="00690F40" w:rsidP="0036083D">
      <w:pPr>
        <w:pStyle w:val="AutoNumpara"/>
        <w:numPr>
          <w:ilvl w:val="1"/>
          <w:numId w:val="10"/>
        </w:numPr>
        <w:spacing w:after="120" w:line="276" w:lineRule="auto"/>
        <w:jc w:val="both"/>
        <w:rPr>
          <w:rFonts w:ascii="Arial" w:hAnsi="Arial" w:cs="Arial"/>
          <w:b/>
          <w:sz w:val="22"/>
          <w:szCs w:val="22"/>
          <w:u w:val="single"/>
        </w:rPr>
      </w:pPr>
      <w:r w:rsidRPr="0036083D">
        <w:rPr>
          <w:rFonts w:ascii="Arial" w:hAnsi="Arial" w:cs="Arial"/>
          <w:sz w:val="22"/>
          <w:szCs w:val="22"/>
          <w:u w:val="single"/>
        </w:rPr>
        <w:t>Projected Generation</w:t>
      </w:r>
    </w:p>
    <w:p w14:paraId="1DC0567F" w14:textId="343B4CF1" w:rsidR="00690F40" w:rsidRPr="0036083D" w:rsidRDefault="00690F40" w:rsidP="0036083D">
      <w:pPr>
        <w:pStyle w:val="AutoNumpara"/>
        <w:numPr>
          <w:ilvl w:val="0"/>
          <w:numId w:val="0"/>
        </w:numPr>
        <w:spacing w:after="120" w:line="276" w:lineRule="auto"/>
        <w:ind w:left="1440"/>
        <w:jc w:val="both"/>
        <w:rPr>
          <w:rFonts w:ascii="Arial" w:hAnsi="Arial" w:cs="Arial"/>
          <w:sz w:val="22"/>
          <w:szCs w:val="22"/>
        </w:rPr>
      </w:pPr>
      <w:r w:rsidRPr="0036083D">
        <w:rPr>
          <w:rFonts w:ascii="Arial" w:hAnsi="Arial" w:cs="Arial"/>
          <w:sz w:val="22"/>
          <w:szCs w:val="22"/>
        </w:rPr>
        <w:t xml:space="preserve">Since the analysis will consider the average life span of the financed technology (which is about 25 years), it will be necessary to use projections from year fifth onwards. The projections </w:t>
      </w:r>
      <w:proofErr w:type="gramStart"/>
      <w:r w:rsidRPr="0036083D">
        <w:rPr>
          <w:rFonts w:ascii="Arial" w:hAnsi="Arial" w:cs="Arial"/>
          <w:sz w:val="22"/>
          <w:szCs w:val="22"/>
        </w:rPr>
        <w:t>will be made</w:t>
      </w:r>
      <w:proofErr w:type="gramEnd"/>
      <w:r w:rsidRPr="0036083D">
        <w:rPr>
          <w:rFonts w:ascii="Arial" w:hAnsi="Arial" w:cs="Arial"/>
          <w:sz w:val="22"/>
          <w:szCs w:val="22"/>
        </w:rPr>
        <w:t xml:space="preserve"> using the same methodology developed in the Economic Evaluation (</w:t>
      </w:r>
      <w:r w:rsidRPr="006C047B">
        <w:rPr>
          <w:rFonts w:ascii="Arial" w:hAnsi="Arial" w:cs="Arial"/>
          <w:sz w:val="22"/>
          <w:szCs w:val="22"/>
        </w:rPr>
        <w:t>See Annex</w:t>
      </w:r>
      <w:r w:rsidRPr="0036083D">
        <w:rPr>
          <w:rFonts w:ascii="Arial" w:hAnsi="Arial" w:cs="Arial"/>
          <w:sz w:val="22"/>
          <w:szCs w:val="22"/>
        </w:rPr>
        <w:t>) but replacing the baseline data with the information that was gathered during the execution of the program.</w:t>
      </w:r>
    </w:p>
    <w:p w14:paraId="07D62C5C" w14:textId="3E707E25" w:rsidR="00C6513E" w:rsidRPr="0036083D" w:rsidRDefault="00C6513E" w:rsidP="0036083D">
      <w:pPr>
        <w:pStyle w:val="AutoNumpara"/>
        <w:numPr>
          <w:ilvl w:val="0"/>
          <w:numId w:val="10"/>
        </w:numPr>
        <w:spacing w:after="120" w:line="276" w:lineRule="auto"/>
        <w:jc w:val="both"/>
        <w:rPr>
          <w:rFonts w:ascii="Arial" w:hAnsi="Arial" w:cs="Arial"/>
          <w:b/>
          <w:sz w:val="22"/>
          <w:szCs w:val="22"/>
          <w:u w:val="single"/>
        </w:rPr>
      </w:pPr>
      <w:r w:rsidRPr="0036083D">
        <w:rPr>
          <w:rFonts w:ascii="Arial" w:hAnsi="Arial" w:cs="Arial"/>
          <w:b/>
          <w:sz w:val="22"/>
          <w:szCs w:val="22"/>
          <w:u w:val="single"/>
        </w:rPr>
        <w:t>Technology Parameters</w:t>
      </w:r>
    </w:p>
    <w:p w14:paraId="38DA8024" w14:textId="4449BD58" w:rsidR="00785437" w:rsidRPr="0036083D" w:rsidRDefault="00D154D5" w:rsidP="0036083D">
      <w:pPr>
        <w:pStyle w:val="AutoNumpara"/>
        <w:numPr>
          <w:ilvl w:val="0"/>
          <w:numId w:val="12"/>
        </w:numPr>
        <w:spacing w:after="120" w:line="276" w:lineRule="auto"/>
        <w:jc w:val="both"/>
        <w:rPr>
          <w:rFonts w:ascii="Arial" w:hAnsi="Arial" w:cs="Arial"/>
          <w:sz w:val="22"/>
          <w:szCs w:val="22"/>
          <w:u w:val="single"/>
        </w:rPr>
      </w:pPr>
      <w:r w:rsidRPr="0036083D">
        <w:rPr>
          <w:rFonts w:ascii="Arial" w:hAnsi="Arial" w:cs="Arial"/>
          <w:sz w:val="22"/>
          <w:szCs w:val="22"/>
          <w:u w:val="single"/>
        </w:rPr>
        <w:t xml:space="preserve">Installed </w:t>
      </w:r>
      <w:r w:rsidR="00785437" w:rsidRPr="0036083D">
        <w:rPr>
          <w:rFonts w:ascii="Arial" w:hAnsi="Arial" w:cs="Arial"/>
          <w:sz w:val="22"/>
          <w:szCs w:val="22"/>
          <w:u w:val="single"/>
        </w:rPr>
        <w:t>capacity</w:t>
      </w:r>
    </w:p>
    <w:p w14:paraId="3172BAF2" w14:textId="10049A5D" w:rsidR="00785437" w:rsidRPr="0036083D" w:rsidRDefault="00785437" w:rsidP="0036083D">
      <w:pPr>
        <w:pStyle w:val="AutoNumpara"/>
        <w:numPr>
          <w:ilvl w:val="0"/>
          <w:numId w:val="0"/>
        </w:numPr>
        <w:spacing w:after="120" w:line="276" w:lineRule="auto"/>
        <w:ind w:left="1800"/>
        <w:jc w:val="both"/>
        <w:rPr>
          <w:rFonts w:ascii="Arial" w:hAnsi="Arial" w:cs="Arial"/>
          <w:sz w:val="22"/>
          <w:szCs w:val="22"/>
        </w:rPr>
      </w:pPr>
      <w:r w:rsidRPr="0036083D">
        <w:rPr>
          <w:rFonts w:ascii="Arial" w:hAnsi="Arial" w:cs="Arial"/>
          <w:sz w:val="22"/>
          <w:szCs w:val="22"/>
        </w:rPr>
        <w:lastRenderedPageBreak/>
        <w:t>The actual installed capacity of the plant</w:t>
      </w:r>
      <w:r w:rsidR="00FD58EA" w:rsidRPr="0036083D">
        <w:rPr>
          <w:rFonts w:ascii="Arial" w:hAnsi="Arial" w:cs="Arial"/>
          <w:sz w:val="22"/>
          <w:szCs w:val="22"/>
        </w:rPr>
        <w:t>s financed by the program</w:t>
      </w:r>
      <w:r w:rsidRPr="0036083D">
        <w:rPr>
          <w:rFonts w:ascii="Arial" w:hAnsi="Arial" w:cs="Arial"/>
          <w:sz w:val="22"/>
          <w:szCs w:val="22"/>
        </w:rPr>
        <w:t xml:space="preserve"> </w:t>
      </w:r>
      <w:proofErr w:type="gramStart"/>
      <w:r w:rsidRPr="0036083D">
        <w:rPr>
          <w:rFonts w:ascii="Arial" w:hAnsi="Arial" w:cs="Arial"/>
          <w:sz w:val="22"/>
          <w:szCs w:val="22"/>
        </w:rPr>
        <w:t>shall be used</w:t>
      </w:r>
      <w:proofErr w:type="gramEnd"/>
      <w:r w:rsidRPr="0036083D">
        <w:rPr>
          <w:rFonts w:ascii="Arial" w:hAnsi="Arial" w:cs="Arial"/>
          <w:sz w:val="22"/>
          <w:szCs w:val="22"/>
        </w:rPr>
        <w:t xml:space="preserve"> for the analysis</w:t>
      </w:r>
      <w:r w:rsidR="00FD58EA" w:rsidRPr="0036083D">
        <w:rPr>
          <w:rFonts w:ascii="Arial" w:hAnsi="Arial" w:cs="Arial"/>
          <w:sz w:val="22"/>
          <w:szCs w:val="22"/>
        </w:rPr>
        <w:t>.</w:t>
      </w:r>
      <w:r w:rsidR="00FD0F6C" w:rsidRPr="0036083D">
        <w:rPr>
          <w:rFonts w:ascii="Arial" w:hAnsi="Arial" w:cs="Arial"/>
          <w:sz w:val="22"/>
          <w:szCs w:val="22"/>
        </w:rPr>
        <w:t xml:space="preserve"> </w:t>
      </w:r>
      <w:r w:rsidR="00FD58EA" w:rsidRPr="0036083D">
        <w:rPr>
          <w:rFonts w:ascii="Arial" w:hAnsi="Arial" w:cs="Arial"/>
          <w:sz w:val="22"/>
          <w:szCs w:val="22"/>
        </w:rPr>
        <w:t>Similarly, t</w:t>
      </w:r>
      <w:r w:rsidR="00FD0F6C" w:rsidRPr="0036083D">
        <w:rPr>
          <w:rFonts w:ascii="Arial" w:hAnsi="Arial" w:cs="Arial"/>
          <w:sz w:val="22"/>
          <w:szCs w:val="22"/>
        </w:rPr>
        <w:t>he installed capacity of the counterfactual plant</w:t>
      </w:r>
      <w:r w:rsidR="00FD58EA" w:rsidRPr="0036083D">
        <w:rPr>
          <w:rFonts w:ascii="Arial" w:hAnsi="Arial" w:cs="Arial"/>
          <w:sz w:val="22"/>
          <w:szCs w:val="22"/>
        </w:rPr>
        <w:t>s</w:t>
      </w:r>
      <w:r w:rsidR="00FD0F6C" w:rsidRPr="0036083D">
        <w:rPr>
          <w:rFonts w:ascii="Arial" w:hAnsi="Arial" w:cs="Arial"/>
          <w:sz w:val="22"/>
          <w:szCs w:val="22"/>
        </w:rPr>
        <w:t xml:space="preserve"> </w:t>
      </w:r>
      <w:r w:rsidR="00FD58EA" w:rsidRPr="0036083D">
        <w:rPr>
          <w:rFonts w:ascii="Arial" w:hAnsi="Arial" w:cs="Arial"/>
          <w:sz w:val="22"/>
          <w:szCs w:val="22"/>
        </w:rPr>
        <w:t xml:space="preserve">reported during the first four year </w:t>
      </w:r>
      <w:proofErr w:type="gramStart"/>
      <w:r w:rsidR="00FD58EA" w:rsidRPr="0036083D">
        <w:rPr>
          <w:rFonts w:ascii="Arial" w:hAnsi="Arial" w:cs="Arial"/>
          <w:sz w:val="22"/>
          <w:szCs w:val="22"/>
        </w:rPr>
        <w:t>will be used</w:t>
      </w:r>
      <w:proofErr w:type="gramEnd"/>
      <w:r w:rsidR="00FD0F6C" w:rsidRPr="0036083D">
        <w:rPr>
          <w:rFonts w:ascii="Arial" w:hAnsi="Arial" w:cs="Arial"/>
          <w:sz w:val="22"/>
          <w:szCs w:val="22"/>
        </w:rPr>
        <w:t>.</w:t>
      </w:r>
      <w:r w:rsidR="00FD58EA" w:rsidRPr="0036083D">
        <w:rPr>
          <w:rFonts w:ascii="Arial" w:hAnsi="Arial" w:cs="Arial"/>
          <w:sz w:val="22"/>
          <w:szCs w:val="22"/>
        </w:rPr>
        <w:t xml:space="preserve"> </w:t>
      </w:r>
    </w:p>
    <w:p w14:paraId="197AB5E6" w14:textId="77777777" w:rsidR="00785437" w:rsidRPr="0036083D" w:rsidRDefault="00785437" w:rsidP="0036083D">
      <w:pPr>
        <w:pStyle w:val="AutoNumpara"/>
        <w:numPr>
          <w:ilvl w:val="0"/>
          <w:numId w:val="12"/>
        </w:numPr>
        <w:spacing w:after="120" w:line="276" w:lineRule="auto"/>
        <w:jc w:val="both"/>
        <w:rPr>
          <w:rFonts w:ascii="Arial" w:hAnsi="Arial" w:cs="Arial"/>
          <w:sz w:val="22"/>
          <w:szCs w:val="22"/>
          <w:u w:val="single"/>
        </w:rPr>
      </w:pPr>
      <w:r w:rsidRPr="0036083D">
        <w:rPr>
          <w:rFonts w:ascii="Arial" w:hAnsi="Arial" w:cs="Arial"/>
          <w:sz w:val="22"/>
          <w:szCs w:val="22"/>
          <w:u w:val="single"/>
        </w:rPr>
        <w:t>Load capacity</w:t>
      </w:r>
    </w:p>
    <w:p w14:paraId="13A1062F" w14:textId="6E345BE1" w:rsidR="00785437" w:rsidRPr="0036083D" w:rsidRDefault="00785437" w:rsidP="0036083D">
      <w:pPr>
        <w:pStyle w:val="AutoNumpara"/>
        <w:numPr>
          <w:ilvl w:val="0"/>
          <w:numId w:val="0"/>
        </w:numPr>
        <w:spacing w:after="120" w:line="276" w:lineRule="auto"/>
        <w:ind w:left="1800"/>
        <w:jc w:val="both"/>
        <w:rPr>
          <w:rFonts w:ascii="Arial" w:hAnsi="Arial" w:cs="Arial"/>
          <w:sz w:val="22"/>
          <w:szCs w:val="22"/>
        </w:rPr>
      </w:pPr>
      <w:r w:rsidRPr="0036083D">
        <w:rPr>
          <w:rFonts w:ascii="Arial" w:hAnsi="Arial" w:cs="Arial"/>
          <w:sz w:val="22"/>
          <w:szCs w:val="22"/>
        </w:rPr>
        <w:t xml:space="preserve">The actual load capacity of the </w:t>
      </w:r>
      <w:r w:rsidR="00FD58EA" w:rsidRPr="0036083D">
        <w:rPr>
          <w:rFonts w:ascii="Arial" w:hAnsi="Arial" w:cs="Arial"/>
          <w:sz w:val="22"/>
          <w:szCs w:val="22"/>
        </w:rPr>
        <w:t xml:space="preserve">financed and counterfactual </w:t>
      </w:r>
      <w:r w:rsidRPr="0036083D">
        <w:rPr>
          <w:rFonts w:ascii="Arial" w:hAnsi="Arial" w:cs="Arial"/>
          <w:sz w:val="22"/>
          <w:szCs w:val="22"/>
        </w:rPr>
        <w:t>plant</w:t>
      </w:r>
      <w:r w:rsidR="00FD58EA" w:rsidRPr="0036083D">
        <w:rPr>
          <w:rFonts w:ascii="Arial" w:hAnsi="Arial" w:cs="Arial"/>
          <w:sz w:val="22"/>
          <w:szCs w:val="22"/>
        </w:rPr>
        <w:t>s</w:t>
      </w:r>
      <w:r w:rsidRPr="0036083D">
        <w:rPr>
          <w:rFonts w:ascii="Arial" w:hAnsi="Arial" w:cs="Arial"/>
          <w:sz w:val="22"/>
          <w:szCs w:val="22"/>
        </w:rPr>
        <w:t xml:space="preserve"> </w:t>
      </w:r>
      <w:proofErr w:type="gramStart"/>
      <w:r w:rsidRPr="0036083D">
        <w:rPr>
          <w:rFonts w:ascii="Arial" w:hAnsi="Arial" w:cs="Arial"/>
          <w:sz w:val="22"/>
          <w:szCs w:val="22"/>
        </w:rPr>
        <w:t>shall be used</w:t>
      </w:r>
      <w:proofErr w:type="gramEnd"/>
      <w:r w:rsidRPr="0036083D">
        <w:rPr>
          <w:rFonts w:ascii="Arial" w:hAnsi="Arial" w:cs="Arial"/>
          <w:sz w:val="22"/>
          <w:szCs w:val="22"/>
        </w:rPr>
        <w:t xml:space="preserve"> for the </w:t>
      </w:r>
      <w:r w:rsidR="00FD58EA" w:rsidRPr="0036083D">
        <w:rPr>
          <w:rFonts w:ascii="Arial" w:hAnsi="Arial" w:cs="Arial"/>
          <w:sz w:val="22"/>
          <w:szCs w:val="22"/>
        </w:rPr>
        <w:t xml:space="preserve">entire life span of the </w:t>
      </w:r>
      <w:r w:rsidRPr="0036083D">
        <w:rPr>
          <w:rFonts w:ascii="Arial" w:hAnsi="Arial" w:cs="Arial"/>
          <w:sz w:val="22"/>
          <w:szCs w:val="22"/>
        </w:rPr>
        <w:t xml:space="preserve">analysis. </w:t>
      </w:r>
    </w:p>
    <w:p w14:paraId="2376F372" w14:textId="7B08BB0A" w:rsidR="00785437" w:rsidRPr="0036083D" w:rsidRDefault="00785437" w:rsidP="0036083D">
      <w:pPr>
        <w:pStyle w:val="AutoNumpara"/>
        <w:numPr>
          <w:ilvl w:val="0"/>
          <w:numId w:val="12"/>
        </w:numPr>
        <w:spacing w:after="120" w:line="276" w:lineRule="auto"/>
        <w:jc w:val="both"/>
        <w:rPr>
          <w:rFonts w:ascii="Arial" w:hAnsi="Arial" w:cs="Arial"/>
          <w:sz w:val="22"/>
          <w:szCs w:val="22"/>
          <w:u w:val="single"/>
        </w:rPr>
      </w:pPr>
      <w:proofErr w:type="gramStart"/>
      <w:r w:rsidRPr="0036083D">
        <w:rPr>
          <w:rFonts w:ascii="Arial" w:hAnsi="Arial" w:cs="Arial"/>
          <w:sz w:val="22"/>
          <w:szCs w:val="22"/>
          <w:u w:val="single"/>
        </w:rPr>
        <w:t xml:space="preserve">Distribution of </w:t>
      </w:r>
      <w:r w:rsidR="00FD58EA" w:rsidRPr="0036083D">
        <w:rPr>
          <w:rFonts w:ascii="Arial" w:hAnsi="Arial" w:cs="Arial"/>
          <w:sz w:val="22"/>
          <w:szCs w:val="22"/>
          <w:u w:val="single"/>
        </w:rPr>
        <w:t xml:space="preserve">financed renewable </w:t>
      </w:r>
      <w:r w:rsidRPr="0036083D">
        <w:rPr>
          <w:rFonts w:ascii="Arial" w:hAnsi="Arial" w:cs="Arial"/>
          <w:sz w:val="22"/>
          <w:szCs w:val="22"/>
          <w:u w:val="single"/>
        </w:rPr>
        <w:t>technologies.</w:t>
      </w:r>
      <w:proofErr w:type="gramEnd"/>
    </w:p>
    <w:p w14:paraId="444B31F1" w14:textId="77777777" w:rsidR="00013533" w:rsidRPr="0036083D" w:rsidRDefault="00A13F55" w:rsidP="0036083D">
      <w:pPr>
        <w:pStyle w:val="AutoNumpara"/>
        <w:numPr>
          <w:ilvl w:val="0"/>
          <w:numId w:val="0"/>
        </w:numPr>
        <w:spacing w:after="120" w:line="276" w:lineRule="auto"/>
        <w:ind w:left="1800"/>
        <w:jc w:val="both"/>
        <w:rPr>
          <w:rFonts w:ascii="Arial" w:hAnsi="Arial" w:cs="Arial"/>
          <w:sz w:val="22"/>
          <w:szCs w:val="22"/>
        </w:rPr>
      </w:pPr>
      <w:r w:rsidRPr="0036083D">
        <w:rPr>
          <w:rFonts w:ascii="Arial" w:hAnsi="Arial" w:cs="Arial"/>
          <w:sz w:val="22"/>
          <w:szCs w:val="22"/>
        </w:rPr>
        <w:t xml:space="preserve">The </w:t>
      </w:r>
      <w:r w:rsidR="00FD58EA" w:rsidRPr="0036083D">
        <w:rPr>
          <w:rFonts w:ascii="Arial" w:hAnsi="Arial" w:cs="Arial"/>
          <w:sz w:val="22"/>
          <w:szCs w:val="22"/>
        </w:rPr>
        <w:t xml:space="preserve">participation of each type of renewable energy among the programs beneficiaries will be calculated and used as the weights for estimating the average costs of the representative plant financed by the program. </w:t>
      </w:r>
    </w:p>
    <w:p w14:paraId="5A596E85" w14:textId="68072AAB" w:rsidR="00AE46EE" w:rsidRPr="0036083D" w:rsidRDefault="008F49D3" w:rsidP="0036083D">
      <w:pPr>
        <w:pStyle w:val="AutoNumpara"/>
        <w:numPr>
          <w:ilvl w:val="0"/>
          <w:numId w:val="10"/>
        </w:numPr>
        <w:spacing w:after="120" w:line="276" w:lineRule="auto"/>
        <w:jc w:val="both"/>
        <w:rPr>
          <w:rFonts w:ascii="Arial" w:hAnsi="Arial" w:cs="Arial"/>
          <w:b/>
          <w:sz w:val="22"/>
          <w:szCs w:val="22"/>
          <w:u w:val="single"/>
        </w:rPr>
      </w:pPr>
      <w:r w:rsidRPr="0036083D">
        <w:rPr>
          <w:rFonts w:ascii="Arial" w:hAnsi="Arial" w:cs="Arial"/>
          <w:b/>
          <w:sz w:val="22"/>
          <w:szCs w:val="22"/>
          <w:u w:val="single"/>
        </w:rPr>
        <w:t>Cost Savings</w:t>
      </w:r>
    </w:p>
    <w:p w14:paraId="33F1D502" w14:textId="0B88974C" w:rsidR="00A13F55" w:rsidRPr="0036083D" w:rsidRDefault="00044274" w:rsidP="0036083D">
      <w:pPr>
        <w:pStyle w:val="AutoNumpara"/>
        <w:numPr>
          <w:ilvl w:val="0"/>
          <w:numId w:val="13"/>
        </w:numPr>
        <w:spacing w:after="120" w:line="276" w:lineRule="auto"/>
        <w:jc w:val="both"/>
        <w:rPr>
          <w:rFonts w:ascii="Arial" w:hAnsi="Arial" w:cs="Arial"/>
          <w:sz w:val="22"/>
          <w:szCs w:val="22"/>
          <w:u w:val="single"/>
        </w:rPr>
      </w:pPr>
      <w:proofErr w:type="gramStart"/>
      <w:r w:rsidRPr="0036083D">
        <w:rPr>
          <w:rFonts w:ascii="Arial" w:hAnsi="Arial" w:cs="Arial"/>
          <w:sz w:val="22"/>
          <w:szCs w:val="22"/>
          <w:u w:val="single"/>
        </w:rPr>
        <w:t>Investment Costs</w:t>
      </w:r>
      <w:r w:rsidR="00A13F55" w:rsidRPr="0036083D">
        <w:rPr>
          <w:rFonts w:ascii="Arial" w:hAnsi="Arial" w:cs="Arial"/>
          <w:sz w:val="22"/>
          <w:szCs w:val="22"/>
          <w:u w:val="single"/>
        </w:rPr>
        <w:t>.</w:t>
      </w:r>
      <w:proofErr w:type="gramEnd"/>
      <w:r w:rsidR="00A13F55" w:rsidRPr="0036083D">
        <w:rPr>
          <w:rFonts w:ascii="Arial" w:hAnsi="Arial" w:cs="Arial"/>
          <w:sz w:val="22"/>
          <w:szCs w:val="22"/>
          <w:u w:val="single"/>
        </w:rPr>
        <w:t xml:space="preserve"> </w:t>
      </w:r>
    </w:p>
    <w:p w14:paraId="5F858EC2" w14:textId="14337055" w:rsidR="0006715B" w:rsidRPr="0036083D" w:rsidRDefault="00044274" w:rsidP="0036083D">
      <w:pPr>
        <w:pStyle w:val="AutoNumpara"/>
        <w:numPr>
          <w:ilvl w:val="0"/>
          <w:numId w:val="0"/>
        </w:numPr>
        <w:spacing w:after="120" w:line="276" w:lineRule="auto"/>
        <w:ind w:left="1800"/>
        <w:jc w:val="both"/>
        <w:rPr>
          <w:rFonts w:ascii="Arial" w:hAnsi="Arial" w:cs="Arial"/>
          <w:sz w:val="22"/>
          <w:szCs w:val="22"/>
        </w:rPr>
      </w:pPr>
      <w:r w:rsidRPr="0036083D">
        <w:rPr>
          <w:rFonts w:ascii="Arial" w:hAnsi="Arial" w:cs="Arial"/>
          <w:sz w:val="22"/>
          <w:szCs w:val="22"/>
        </w:rPr>
        <w:t xml:space="preserve">The actual capital costs of the projects financed by the program </w:t>
      </w:r>
      <w:proofErr w:type="gramStart"/>
      <w:r w:rsidRPr="0036083D">
        <w:rPr>
          <w:rFonts w:ascii="Arial" w:hAnsi="Arial" w:cs="Arial"/>
          <w:sz w:val="22"/>
          <w:szCs w:val="22"/>
        </w:rPr>
        <w:t>will be used</w:t>
      </w:r>
      <w:proofErr w:type="gramEnd"/>
      <w:r w:rsidRPr="0036083D">
        <w:rPr>
          <w:rFonts w:ascii="Arial" w:hAnsi="Arial" w:cs="Arial"/>
          <w:sz w:val="22"/>
          <w:szCs w:val="22"/>
        </w:rPr>
        <w:t xml:space="preserve">. This information will come from program’s monitoring. For the counterfactual </w:t>
      </w:r>
      <w:proofErr w:type="gramStart"/>
      <w:r w:rsidRPr="0036083D">
        <w:rPr>
          <w:rFonts w:ascii="Arial" w:hAnsi="Arial" w:cs="Arial"/>
          <w:sz w:val="22"/>
          <w:szCs w:val="22"/>
        </w:rPr>
        <w:t>scenario</w:t>
      </w:r>
      <w:proofErr w:type="gramEnd"/>
      <w:r w:rsidRPr="0036083D">
        <w:rPr>
          <w:rFonts w:ascii="Arial" w:hAnsi="Arial" w:cs="Arial"/>
          <w:sz w:val="22"/>
          <w:szCs w:val="22"/>
        </w:rPr>
        <w:t xml:space="preserve"> the recorded capital costs during the execution period will be used.</w:t>
      </w:r>
    </w:p>
    <w:p w14:paraId="3F58C03A" w14:textId="12DD1592" w:rsidR="00A13F55" w:rsidRPr="0036083D" w:rsidRDefault="00044274" w:rsidP="0036083D">
      <w:pPr>
        <w:pStyle w:val="AutoNumpara"/>
        <w:numPr>
          <w:ilvl w:val="0"/>
          <w:numId w:val="13"/>
        </w:numPr>
        <w:spacing w:after="120" w:line="276" w:lineRule="auto"/>
        <w:jc w:val="both"/>
        <w:rPr>
          <w:rFonts w:ascii="Arial" w:hAnsi="Arial" w:cs="Arial"/>
          <w:sz w:val="22"/>
          <w:szCs w:val="22"/>
          <w:u w:val="single"/>
        </w:rPr>
      </w:pPr>
      <w:r w:rsidRPr="0036083D">
        <w:rPr>
          <w:rFonts w:ascii="Arial" w:hAnsi="Arial" w:cs="Arial"/>
          <w:sz w:val="22"/>
          <w:szCs w:val="22"/>
          <w:u w:val="single"/>
        </w:rPr>
        <w:t>O&amp;M Costs</w:t>
      </w:r>
    </w:p>
    <w:p w14:paraId="4AD33CE6" w14:textId="00CE84D4" w:rsidR="00736E8D" w:rsidRPr="0036083D" w:rsidRDefault="00044274" w:rsidP="0036083D">
      <w:pPr>
        <w:pStyle w:val="AutoNumpara"/>
        <w:numPr>
          <w:ilvl w:val="0"/>
          <w:numId w:val="0"/>
        </w:numPr>
        <w:spacing w:after="120" w:line="276" w:lineRule="auto"/>
        <w:ind w:left="1800"/>
        <w:jc w:val="both"/>
        <w:rPr>
          <w:rFonts w:ascii="Arial" w:hAnsi="Arial" w:cs="Arial"/>
          <w:sz w:val="22"/>
          <w:szCs w:val="22"/>
        </w:rPr>
      </w:pPr>
      <w:proofErr w:type="gramStart"/>
      <w:r w:rsidRPr="0036083D">
        <w:rPr>
          <w:rFonts w:ascii="Arial" w:hAnsi="Arial" w:cs="Arial"/>
          <w:sz w:val="22"/>
          <w:szCs w:val="22"/>
        </w:rPr>
        <w:t xml:space="preserve">Information of operation and maintenance costs of project </w:t>
      </w:r>
      <w:r w:rsidR="004662D2" w:rsidRPr="0036083D">
        <w:rPr>
          <w:rFonts w:ascii="Arial" w:hAnsi="Arial" w:cs="Arial"/>
          <w:sz w:val="22"/>
          <w:szCs w:val="22"/>
        </w:rPr>
        <w:t xml:space="preserve">beneficiaries shall be collected on an annual basis by </w:t>
      </w:r>
      <w:proofErr w:type="spellStart"/>
      <w:r w:rsidR="004662D2" w:rsidRPr="0036083D">
        <w:rPr>
          <w:rFonts w:ascii="Arial" w:hAnsi="Arial" w:cs="Arial"/>
          <w:sz w:val="22"/>
          <w:szCs w:val="22"/>
        </w:rPr>
        <w:t>Bancoldex</w:t>
      </w:r>
      <w:proofErr w:type="spellEnd"/>
      <w:proofErr w:type="gramEnd"/>
      <w:r w:rsidR="00CD2C15" w:rsidRPr="0036083D">
        <w:rPr>
          <w:rFonts w:ascii="Arial" w:hAnsi="Arial" w:cs="Arial"/>
          <w:sz w:val="22"/>
          <w:szCs w:val="22"/>
        </w:rPr>
        <w:t>.</w:t>
      </w:r>
      <w:r w:rsidR="004662D2" w:rsidRPr="0036083D">
        <w:rPr>
          <w:rFonts w:ascii="Arial" w:hAnsi="Arial" w:cs="Arial"/>
          <w:sz w:val="22"/>
          <w:szCs w:val="22"/>
        </w:rPr>
        <w:t xml:space="preserve"> After the execution period finishes, the O&amp;M costs </w:t>
      </w:r>
      <w:proofErr w:type="gramStart"/>
      <w:r w:rsidR="004662D2" w:rsidRPr="0036083D">
        <w:rPr>
          <w:rFonts w:ascii="Arial" w:hAnsi="Arial" w:cs="Arial"/>
          <w:sz w:val="22"/>
          <w:szCs w:val="22"/>
        </w:rPr>
        <w:t>will be projected</w:t>
      </w:r>
      <w:proofErr w:type="gramEnd"/>
      <w:r w:rsidR="004662D2" w:rsidRPr="0036083D">
        <w:rPr>
          <w:rFonts w:ascii="Arial" w:hAnsi="Arial" w:cs="Arial"/>
          <w:sz w:val="22"/>
          <w:szCs w:val="22"/>
        </w:rPr>
        <w:t xml:space="preserve"> based on CPI inflation projected for Colombia. Costs information for counterfactual plants </w:t>
      </w:r>
      <w:proofErr w:type="gramStart"/>
      <w:r w:rsidR="004662D2" w:rsidRPr="0036083D">
        <w:rPr>
          <w:rFonts w:ascii="Arial" w:hAnsi="Arial" w:cs="Arial"/>
          <w:sz w:val="22"/>
          <w:szCs w:val="22"/>
        </w:rPr>
        <w:t>will be collected</w:t>
      </w:r>
      <w:proofErr w:type="gramEnd"/>
      <w:r w:rsidR="004662D2" w:rsidRPr="0036083D">
        <w:rPr>
          <w:rFonts w:ascii="Arial" w:hAnsi="Arial" w:cs="Arial"/>
          <w:sz w:val="22"/>
          <w:szCs w:val="22"/>
        </w:rPr>
        <w:t xml:space="preserve"> on a survey conducted by the end of the program, and will be projected for the remaining years using the same method as for the beneficiaries. </w:t>
      </w:r>
    </w:p>
    <w:p w14:paraId="24D41681" w14:textId="57178894" w:rsidR="00A40527" w:rsidRPr="0036083D" w:rsidRDefault="00013533" w:rsidP="0036083D">
      <w:pPr>
        <w:pStyle w:val="AutoNumpara"/>
        <w:numPr>
          <w:ilvl w:val="0"/>
          <w:numId w:val="10"/>
        </w:numPr>
        <w:spacing w:after="120" w:line="276" w:lineRule="auto"/>
        <w:jc w:val="both"/>
        <w:rPr>
          <w:rFonts w:ascii="Arial" w:hAnsi="Arial" w:cs="Arial"/>
          <w:b/>
          <w:sz w:val="22"/>
          <w:szCs w:val="22"/>
          <w:u w:val="single"/>
        </w:rPr>
      </w:pPr>
      <w:r w:rsidRPr="0036083D">
        <w:rPr>
          <w:rFonts w:ascii="Arial" w:hAnsi="Arial" w:cs="Arial"/>
          <w:b/>
          <w:sz w:val="22"/>
          <w:szCs w:val="22"/>
          <w:u w:val="single"/>
        </w:rPr>
        <w:t>CO</w:t>
      </w:r>
      <w:r w:rsidRPr="0036083D">
        <w:rPr>
          <w:rFonts w:ascii="Arial" w:hAnsi="Arial" w:cs="Arial"/>
          <w:b/>
          <w:sz w:val="22"/>
          <w:szCs w:val="22"/>
          <w:u w:val="single"/>
          <w:vertAlign w:val="subscript"/>
        </w:rPr>
        <w:t>2</w:t>
      </w:r>
      <w:r w:rsidRPr="0036083D">
        <w:rPr>
          <w:rFonts w:ascii="Arial" w:hAnsi="Arial" w:cs="Arial"/>
          <w:b/>
          <w:sz w:val="22"/>
          <w:szCs w:val="22"/>
          <w:u w:val="single"/>
        </w:rPr>
        <w:t xml:space="preserve"> emissions </w:t>
      </w:r>
    </w:p>
    <w:p w14:paraId="239343D0" w14:textId="1875589C" w:rsidR="00013533" w:rsidRDefault="00013533" w:rsidP="0036083D">
      <w:pPr>
        <w:pStyle w:val="AutoNumpara"/>
        <w:numPr>
          <w:ilvl w:val="0"/>
          <w:numId w:val="0"/>
        </w:numPr>
        <w:spacing w:after="120" w:line="276" w:lineRule="auto"/>
        <w:ind w:left="1080"/>
        <w:jc w:val="both"/>
        <w:rPr>
          <w:rFonts w:ascii="Arial" w:hAnsi="Arial" w:cs="Arial"/>
          <w:sz w:val="22"/>
          <w:szCs w:val="22"/>
        </w:rPr>
      </w:pPr>
      <w:r w:rsidRPr="0036083D">
        <w:rPr>
          <w:rFonts w:ascii="Arial" w:hAnsi="Arial" w:cs="Arial"/>
          <w:sz w:val="22"/>
          <w:szCs w:val="22"/>
        </w:rPr>
        <w:t>The basis for emissions reductions calculation is the ele</w:t>
      </w:r>
      <w:r w:rsidR="00C66E4D" w:rsidRPr="0036083D">
        <w:rPr>
          <w:rFonts w:ascii="Arial" w:hAnsi="Arial" w:cs="Arial"/>
          <w:sz w:val="22"/>
          <w:szCs w:val="22"/>
        </w:rPr>
        <w:t xml:space="preserve">ctricity generated by the plants and the emissions factor of diesel. Hence, the basis for the estimation will be the reported renewable energy generated by projects financed by the program. Once the generation is known, it shall be multiplied by the emissions factor in order to account for the emissions that are being reduced by avoiding </w:t>
      </w:r>
      <w:proofErr w:type="gramStart"/>
      <w:r w:rsidR="00C66E4D" w:rsidRPr="0036083D">
        <w:rPr>
          <w:rFonts w:ascii="Arial" w:hAnsi="Arial" w:cs="Arial"/>
          <w:sz w:val="22"/>
          <w:szCs w:val="22"/>
        </w:rPr>
        <w:t>diesel based</w:t>
      </w:r>
      <w:proofErr w:type="gramEnd"/>
      <w:r w:rsidR="00C66E4D" w:rsidRPr="0036083D">
        <w:rPr>
          <w:rFonts w:ascii="Arial" w:hAnsi="Arial" w:cs="Arial"/>
          <w:sz w:val="22"/>
          <w:szCs w:val="22"/>
        </w:rPr>
        <w:t xml:space="preserve"> generation. For the portion of the analysis that goes beyond the execution period, the emissions reductions will be calculated based on projected generation of the beneficiaries and non-beneficiaries, following the same method developed in the Economic Analysis, but based on measured data of the first four years.</w:t>
      </w:r>
    </w:p>
    <w:p w14:paraId="03A52A49" w14:textId="77777777" w:rsidR="00C31215" w:rsidRDefault="00C31215" w:rsidP="0036083D">
      <w:pPr>
        <w:pStyle w:val="AutoNumpara"/>
        <w:numPr>
          <w:ilvl w:val="0"/>
          <w:numId w:val="0"/>
        </w:numPr>
        <w:spacing w:after="120" w:line="276" w:lineRule="auto"/>
        <w:ind w:left="1080"/>
        <w:jc w:val="both"/>
        <w:rPr>
          <w:rFonts w:ascii="Arial" w:hAnsi="Arial" w:cs="Arial"/>
          <w:sz w:val="22"/>
          <w:szCs w:val="22"/>
        </w:rPr>
      </w:pPr>
    </w:p>
    <w:p w14:paraId="7253D80E" w14:textId="77777777" w:rsidR="00C31215" w:rsidRPr="0036083D" w:rsidRDefault="00C31215" w:rsidP="0036083D">
      <w:pPr>
        <w:pStyle w:val="AutoNumpara"/>
        <w:numPr>
          <w:ilvl w:val="0"/>
          <w:numId w:val="0"/>
        </w:numPr>
        <w:spacing w:after="120" w:line="276" w:lineRule="auto"/>
        <w:ind w:left="1080"/>
        <w:jc w:val="both"/>
        <w:rPr>
          <w:rFonts w:ascii="Arial" w:hAnsi="Arial" w:cs="Arial"/>
          <w:sz w:val="22"/>
          <w:szCs w:val="22"/>
        </w:rPr>
      </w:pPr>
    </w:p>
    <w:p w14:paraId="31BEBFFE" w14:textId="77777777" w:rsidR="00AE3634" w:rsidRPr="0036083D" w:rsidRDefault="00AE3634" w:rsidP="0036083D">
      <w:pPr>
        <w:pStyle w:val="AutoNumpara"/>
        <w:numPr>
          <w:ilvl w:val="0"/>
          <w:numId w:val="10"/>
        </w:numPr>
        <w:spacing w:after="120" w:line="276" w:lineRule="auto"/>
        <w:jc w:val="both"/>
        <w:rPr>
          <w:rFonts w:ascii="Arial" w:hAnsi="Arial" w:cs="Arial"/>
          <w:b/>
          <w:sz w:val="22"/>
          <w:szCs w:val="22"/>
          <w:u w:val="single"/>
        </w:rPr>
      </w:pPr>
      <w:r w:rsidRPr="0036083D">
        <w:rPr>
          <w:rFonts w:ascii="Arial" w:hAnsi="Arial" w:cs="Arial"/>
          <w:b/>
          <w:sz w:val="22"/>
          <w:szCs w:val="22"/>
          <w:u w:val="single"/>
        </w:rPr>
        <w:lastRenderedPageBreak/>
        <w:t>Net present value and economic return</w:t>
      </w:r>
    </w:p>
    <w:p w14:paraId="7DD83176" w14:textId="321C6F1E" w:rsidR="00605F24" w:rsidRPr="0036083D" w:rsidRDefault="00AE3634" w:rsidP="0036083D">
      <w:pPr>
        <w:pStyle w:val="AutoNumpara"/>
        <w:numPr>
          <w:ilvl w:val="0"/>
          <w:numId w:val="0"/>
        </w:numPr>
        <w:spacing w:after="120" w:line="276" w:lineRule="auto"/>
        <w:ind w:left="1080"/>
        <w:jc w:val="both"/>
        <w:rPr>
          <w:rFonts w:ascii="Arial" w:hAnsi="Arial" w:cs="Arial"/>
          <w:sz w:val="22"/>
          <w:szCs w:val="22"/>
        </w:rPr>
      </w:pPr>
      <w:r w:rsidRPr="0036083D">
        <w:rPr>
          <w:rFonts w:ascii="Arial" w:hAnsi="Arial" w:cs="Arial"/>
          <w:sz w:val="22"/>
          <w:szCs w:val="22"/>
        </w:rPr>
        <w:t xml:space="preserve">The Net Present Value (NPV) of the overall program </w:t>
      </w:r>
      <w:proofErr w:type="gramStart"/>
      <w:r w:rsidRPr="0036083D">
        <w:rPr>
          <w:rFonts w:ascii="Arial" w:hAnsi="Arial" w:cs="Arial"/>
          <w:sz w:val="22"/>
          <w:szCs w:val="22"/>
        </w:rPr>
        <w:t>will be calculated</w:t>
      </w:r>
      <w:proofErr w:type="gramEnd"/>
      <w:r w:rsidRPr="0036083D">
        <w:rPr>
          <w:rFonts w:ascii="Arial" w:hAnsi="Arial" w:cs="Arial"/>
          <w:sz w:val="22"/>
          <w:szCs w:val="22"/>
        </w:rPr>
        <w:t xml:space="preserve"> as follows</w:t>
      </w:r>
      <w:r w:rsidRPr="0036083D">
        <w:rPr>
          <w:rStyle w:val="FootnoteReference"/>
          <w:rFonts w:ascii="Arial" w:hAnsi="Arial" w:cs="Arial"/>
          <w:szCs w:val="22"/>
        </w:rPr>
        <w:footnoteReference w:id="9"/>
      </w:r>
      <w:r w:rsidRPr="0036083D">
        <w:rPr>
          <w:rFonts w:ascii="Arial" w:hAnsi="Arial" w:cs="Arial"/>
          <w:sz w:val="22"/>
          <w:szCs w:val="22"/>
        </w:rPr>
        <w:t xml:space="preserve">: First, the NPV </w:t>
      </w:r>
      <w:r w:rsidR="00667ECA" w:rsidRPr="0036083D">
        <w:rPr>
          <w:rFonts w:ascii="Arial" w:hAnsi="Arial" w:cs="Arial"/>
          <w:sz w:val="22"/>
          <w:szCs w:val="22"/>
        </w:rPr>
        <w:t>of the cost savings will be calculating by discounting the difference between the flow of non-beneficiaries average costs and beneficiaries weighted average costs.</w:t>
      </w:r>
    </w:p>
    <w:p w14:paraId="69EE89EE" w14:textId="79CAE67A" w:rsidR="00AE3634" w:rsidRPr="0036083D" w:rsidRDefault="00E77410" w:rsidP="0036083D">
      <w:pPr>
        <w:pStyle w:val="AutoNumpara"/>
        <w:numPr>
          <w:ilvl w:val="0"/>
          <w:numId w:val="0"/>
        </w:numPr>
        <w:spacing w:after="120" w:line="276" w:lineRule="auto"/>
        <w:ind w:left="1080"/>
        <w:jc w:val="both"/>
        <w:rPr>
          <w:rFonts w:ascii="Arial" w:hAnsi="Arial" w:cs="Arial"/>
          <w:sz w:val="22"/>
          <w:szCs w:val="22"/>
        </w:rPr>
      </w:pPr>
      <w:r w:rsidRPr="0036083D">
        <w:rPr>
          <w:rFonts w:ascii="Arial" w:hAnsi="Arial" w:cs="Arial"/>
          <w:sz w:val="22"/>
          <w:szCs w:val="22"/>
        </w:rPr>
        <w:t xml:space="preserve">Second, the NPV </w:t>
      </w:r>
      <w:r w:rsidR="00A429BA" w:rsidRPr="0036083D">
        <w:rPr>
          <w:rFonts w:ascii="Arial" w:hAnsi="Arial" w:cs="Arial"/>
          <w:sz w:val="22"/>
          <w:szCs w:val="22"/>
        </w:rPr>
        <w:t>of the CO</w:t>
      </w:r>
      <w:r w:rsidR="00A429BA" w:rsidRPr="0036083D">
        <w:rPr>
          <w:rFonts w:ascii="Arial" w:hAnsi="Arial" w:cs="Arial"/>
          <w:sz w:val="22"/>
          <w:szCs w:val="22"/>
          <w:vertAlign w:val="subscript"/>
        </w:rPr>
        <w:t xml:space="preserve">2 </w:t>
      </w:r>
      <w:r w:rsidR="00A429BA" w:rsidRPr="0036083D">
        <w:rPr>
          <w:rFonts w:ascii="Arial" w:hAnsi="Arial" w:cs="Arial"/>
          <w:sz w:val="22"/>
          <w:szCs w:val="22"/>
        </w:rPr>
        <w:t xml:space="preserve">emissions </w:t>
      </w:r>
      <w:proofErr w:type="gramStart"/>
      <w:r w:rsidRPr="0036083D">
        <w:rPr>
          <w:rFonts w:ascii="Arial" w:hAnsi="Arial" w:cs="Arial"/>
          <w:sz w:val="22"/>
          <w:szCs w:val="22"/>
        </w:rPr>
        <w:t>will be calculated</w:t>
      </w:r>
      <w:proofErr w:type="gramEnd"/>
      <w:r w:rsidRPr="0036083D">
        <w:rPr>
          <w:rFonts w:ascii="Arial" w:hAnsi="Arial" w:cs="Arial"/>
          <w:sz w:val="22"/>
          <w:szCs w:val="22"/>
        </w:rPr>
        <w:t xml:space="preserve"> by discounting the flow of </w:t>
      </w:r>
      <w:r w:rsidR="00A429BA" w:rsidRPr="0036083D">
        <w:rPr>
          <w:rFonts w:ascii="Arial" w:hAnsi="Arial" w:cs="Arial"/>
          <w:sz w:val="22"/>
          <w:szCs w:val="22"/>
        </w:rPr>
        <w:t>the monetary value of the emissions reduced by the financed plants</w:t>
      </w:r>
      <w:r w:rsidRPr="0036083D">
        <w:rPr>
          <w:rFonts w:ascii="Arial" w:hAnsi="Arial" w:cs="Arial"/>
          <w:sz w:val="22"/>
          <w:szCs w:val="22"/>
        </w:rPr>
        <w:t xml:space="preserve">. These </w:t>
      </w:r>
      <w:proofErr w:type="gramStart"/>
      <w:r w:rsidRPr="0036083D">
        <w:rPr>
          <w:rFonts w:ascii="Arial" w:hAnsi="Arial" w:cs="Arial"/>
          <w:sz w:val="22"/>
          <w:szCs w:val="22"/>
        </w:rPr>
        <w:t>are calculated</w:t>
      </w:r>
      <w:proofErr w:type="gramEnd"/>
      <w:r w:rsidRPr="0036083D">
        <w:rPr>
          <w:rFonts w:ascii="Arial" w:hAnsi="Arial" w:cs="Arial"/>
          <w:sz w:val="22"/>
          <w:szCs w:val="22"/>
        </w:rPr>
        <w:t xml:space="preserve"> by </w:t>
      </w:r>
      <w:r w:rsidR="00A429BA" w:rsidRPr="0036083D">
        <w:rPr>
          <w:rFonts w:ascii="Arial" w:hAnsi="Arial" w:cs="Arial"/>
          <w:sz w:val="22"/>
          <w:szCs w:val="22"/>
        </w:rPr>
        <w:t>multiplying the amount of emissions by the carbon market price</w:t>
      </w:r>
      <w:r w:rsidRPr="0036083D">
        <w:rPr>
          <w:rFonts w:ascii="Arial" w:hAnsi="Arial" w:cs="Arial"/>
          <w:sz w:val="22"/>
          <w:szCs w:val="22"/>
        </w:rPr>
        <w:t>.</w:t>
      </w:r>
      <w:r w:rsidR="00605F24" w:rsidRPr="0036083D">
        <w:rPr>
          <w:rFonts w:ascii="Arial" w:hAnsi="Arial" w:cs="Arial"/>
          <w:sz w:val="22"/>
          <w:szCs w:val="22"/>
        </w:rPr>
        <w:t xml:space="preserve"> </w:t>
      </w:r>
    </w:p>
    <w:p w14:paraId="7F2E5848" w14:textId="4ED76B4E" w:rsidR="00605F24" w:rsidRPr="0036083D" w:rsidRDefault="00605F24" w:rsidP="0036083D">
      <w:pPr>
        <w:pStyle w:val="AutoNumpara"/>
        <w:numPr>
          <w:ilvl w:val="0"/>
          <w:numId w:val="0"/>
        </w:numPr>
        <w:spacing w:after="120" w:line="276" w:lineRule="auto"/>
        <w:ind w:left="1080"/>
        <w:jc w:val="both"/>
        <w:rPr>
          <w:rFonts w:ascii="Arial" w:hAnsi="Arial" w:cs="Arial"/>
          <w:sz w:val="22"/>
          <w:szCs w:val="22"/>
        </w:rPr>
      </w:pPr>
      <w:r w:rsidRPr="0036083D">
        <w:rPr>
          <w:rFonts w:ascii="Arial" w:hAnsi="Arial" w:cs="Arial"/>
          <w:sz w:val="22"/>
          <w:szCs w:val="22"/>
        </w:rPr>
        <w:t xml:space="preserve">Finally, the programs NPV will be the </w:t>
      </w:r>
      <w:r w:rsidR="00A429BA" w:rsidRPr="0036083D">
        <w:rPr>
          <w:rFonts w:ascii="Arial" w:hAnsi="Arial" w:cs="Arial"/>
          <w:sz w:val="22"/>
          <w:szCs w:val="22"/>
        </w:rPr>
        <w:t>sum of the NPV of costs savings and the NPV of the emissions reduced</w:t>
      </w:r>
      <w:r w:rsidRPr="0036083D">
        <w:rPr>
          <w:rFonts w:ascii="Arial" w:hAnsi="Arial" w:cs="Arial"/>
          <w:sz w:val="22"/>
          <w:szCs w:val="22"/>
        </w:rPr>
        <w:t xml:space="preserve">. The internal rate of return (IRR) </w:t>
      </w:r>
      <w:proofErr w:type="gramStart"/>
      <w:r w:rsidRPr="0036083D">
        <w:rPr>
          <w:rFonts w:ascii="Arial" w:hAnsi="Arial" w:cs="Arial"/>
          <w:sz w:val="22"/>
          <w:szCs w:val="22"/>
        </w:rPr>
        <w:t>will be calculated</w:t>
      </w:r>
      <w:proofErr w:type="gramEnd"/>
      <w:r w:rsidRPr="0036083D">
        <w:rPr>
          <w:rFonts w:ascii="Arial" w:hAnsi="Arial" w:cs="Arial"/>
          <w:sz w:val="22"/>
          <w:szCs w:val="22"/>
        </w:rPr>
        <w:t xml:space="preserve"> based on the programs NPV.</w:t>
      </w:r>
    </w:p>
    <w:p w14:paraId="2FFDC6C8" w14:textId="6CA0EB65" w:rsidR="008D509E" w:rsidRPr="0036083D" w:rsidRDefault="008D509E" w:rsidP="0036083D">
      <w:pPr>
        <w:pStyle w:val="AutoNumpara"/>
        <w:spacing w:after="120" w:line="276" w:lineRule="auto"/>
        <w:jc w:val="both"/>
        <w:rPr>
          <w:rFonts w:ascii="Arial" w:hAnsi="Arial" w:cs="Arial"/>
          <w:sz w:val="22"/>
          <w:szCs w:val="22"/>
        </w:rPr>
      </w:pPr>
      <w:r w:rsidRPr="0036083D">
        <w:rPr>
          <w:rFonts w:ascii="Arial" w:hAnsi="Arial" w:cs="Arial"/>
          <w:sz w:val="22"/>
          <w:szCs w:val="22"/>
        </w:rPr>
        <w:t>This method is appropriate because: (i) there is a small population</w:t>
      </w:r>
      <w:r w:rsidR="00A429BA" w:rsidRPr="0036083D">
        <w:rPr>
          <w:rFonts w:ascii="Arial" w:hAnsi="Arial" w:cs="Arial"/>
          <w:sz w:val="22"/>
          <w:szCs w:val="22"/>
        </w:rPr>
        <w:t xml:space="preserve"> of expected beneficiaries</w:t>
      </w:r>
      <w:r w:rsidRPr="0036083D">
        <w:rPr>
          <w:rFonts w:ascii="Arial" w:hAnsi="Arial" w:cs="Arial"/>
          <w:sz w:val="22"/>
          <w:szCs w:val="22"/>
        </w:rPr>
        <w:t xml:space="preserve"> in the </w:t>
      </w:r>
      <w:r w:rsidR="00A429BA" w:rsidRPr="0036083D">
        <w:rPr>
          <w:rFonts w:ascii="Arial" w:hAnsi="Arial" w:cs="Arial"/>
          <w:sz w:val="22"/>
          <w:szCs w:val="22"/>
        </w:rPr>
        <w:t>ZNIs</w:t>
      </w:r>
      <w:r w:rsidRPr="0036083D">
        <w:rPr>
          <w:rFonts w:ascii="Arial" w:hAnsi="Arial" w:cs="Arial"/>
          <w:sz w:val="22"/>
          <w:szCs w:val="22"/>
        </w:rPr>
        <w:t>, and (ii) the availability of outcome indicators is very high.</w:t>
      </w:r>
    </w:p>
    <w:p w14:paraId="35BFAD9D" w14:textId="6E453A54" w:rsidR="00B90681" w:rsidRPr="0036083D" w:rsidRDefault="00B90681" w:rsidP="0036083D">
      <w:pPr>
        <w:pStyle w:val="AutoNumpara"/>
        <w:spacing w:after="120" w:line="276" w:lineRule="auto"/>
        <w:jc w:val="both"/>
        <w:rPr>
          <w:rFonts w:ascii="Arial" w:hAnsi="Arial" w:cs="Arial"/>
          <w:sz w:val="22"/>
          <w:szCs w:val="22"/>
        </w:rPr>
      </w:pPr>
      <w:r w:rsidRPr="0036083D">
        <w:rPr>
          <w:rFonts w:ascii="Arial" w:hAnsi="Arial" w:cs="Arial"/>
          <w:sz w:val="22"/>
          <w:szCs w:val="22"/>
        </w:rPr>
        <w:t>It will be the responsibility of the Bank, through its Division of Capital Markets and Financial Institutions (IFD/CMF)</w:t>
      </w:r>
      <w:r w:rsidR="00290E07" w:rsidRPr="0036083D">
        <w:rPr>
          <w:rFonts w:ascii="Arial" w:hAnsi="Arial" w:cs="Arial"/>
          <w:sz w:val="22"/>
          <w:szCs w:val="22"/>
        </w:rPr>
        <w:t xml:space="preserve">, </w:t>
      </w:r>
      <w:r w:rsidR="002F0B65" w:rsidRPr="0036083D">
        <w:rPr>
          <w:rFonts w:ascii="Arial" w:hAnsi="Arial" w:cs="Arial"/>
          <w:sz w:val="22"/>
          <w:szCs w:val="22"/>
        </w:rPr>
        <w:t xml:space="preserve">Energy Division </w:t>
      </w:r>
      <w:r w:rsidR="00290E07" w:rsidRPr="0036083D">
        <w:rPr>
          <w:rFonts w:ascii="Arial" w:hAnsi="Arial" w:cs="Arial"/>
          <w:sz w:val="22"/>
          <w:szCs w:val="22"/>
        </w:rPr>
        <w:t>INE/ENE</w:t>
      </w:r>
      <w:r w:rsidRPr="0036083D">
        <w:rPr>
          <w:rFonts w:ascii="Arial" w:hAnsi="Arial" w:cs="Arial"/>
          <w:sz w:val="22"/>
          <w:szCs w:val="22"/>
        </w:rPr>
        <w:t xml:space="preserve"> and Climate Change and Sustainability (INE/CCS),</w:t>
      </w:r>
      <w:r w:rsidR="00290E07" w:rsidRPr="0036083D">
        <w:rPr>
          <w:rFonts w:ascii="Arial" w:hAnsi="Arial" w:cs="Arial"/>
          <w:sz w:val="22"/>
          <w:szCs w:val="22"/>
        </w:rPr>
        <w:t xml:space="preserve"> and</w:t>
      </w:r>
      <w:r w:rsidRPr="0036083D">
        <w:rPr>
          <w:rFonts w:ascii="Arial" w:hAnsi="Arial" w:cs="Arial"/>
          <w:sz w:val="22"/>
          <w:szCs w:val="22"/>
        </w:rPr>
        <w:t xml:space="preserve"> to supervise the execution of the ex post cost-benefit analysis from the data collected in accordance with the plan proposed. It </w:t>
      </w:r>
      <w:proofErr w:type="gramStart"/>
      <w:r w:rsidRPr="0036083D">
        <w:rPr>
          <w:rFonts w:ascii="Arial" w:hAnsi="Arial" w:cs="Arial"/>
          <w:sz w:val="22"/>
          <w:szCs w:val="22"/>
        </w:rPr>
        <w:t>is expected</w:t>
      </w:r>
      <w:proofErr w:type="gramEnd"/>
      <w:r w:rsidRPr="0036083D">
        <w:rPr>
          <w:rFonts w:ascii="Arial" w:hAnsi="Arial" w:cs="Arial"/>
          <w:sz w:val="22"/>
          <w:szCs w:val="22"/>
        </w:rPr>
        <w:t xml:space="preserve"> that the information needed to make such an evaluation will be available from national</w:t>
      </w:r>
      <w:r w:rsidR="00A429BA" w:rsidRPr="0036083D">
        <w:rPr>
          <w:rFonts w:ascii="Arial" w:hAnsi="Arial" w:cs="Arial"/>
          <w:sz w:val="22"/>
          <w:szCs w:val="22"/>
        </w:rPr>
        <w:t xml:space="preserve"> sources as indicated in Table 2</w:t>
      </w:r>
      <w:r w:rsidRPr="0036083D">
        <w:rPr>
          <w:rFonts w:ascii="Arial" w:hAnsi="Arial" w:cs="Arial"/>
          <w:sz w:val="22"/>
          <w:szCs w:val="22"/>
        </w:rPr>
        <w:t xml:space="preserve">.1 and from the final report produced by </w:t>
      </w:r>
      <w:proofErr w:type="spellStart"/>
      <w:r w:rsidR="005E039E" w:rsidRPr="0036083D">
        <w:rPr>
          <w:rFonts w:ascii="Arial" w:hAnsi="Arial" w:cs="Arial"/>
          <w:sz w:val="22"/>
          <w:szCs w:val="22"/>
        </w:rPr>
        <w:t>Bancóldex</w:t>
      </w:r>
      <w:proofErr w:type="spellEnd"/>
      <w:r w:rsidRPr="0036083D">
        <w:rPr>
          <w:rFonts w:ascii="Arial" w:hAnsi="Arial" w:cs="Arial"/>
          <w:sz w:val="22"/>
          <w:szCs w:val="22"/>
        </w:rPr>
        <w:t xml:space="preserve"> and included in the monitoring activities.</w:t>
      </w:r>
    </w:p>
    <w:p w14:paraId="26F13725" w14:textId="59045A33" w:rsidR="00062F49" w:rsidRPr="0036083D" w:rsidRDefault="00062F49" w:rsidP="0036083D">
      <w:pPr>
        <w:pStyle w:val="AutoNumpara"/>
        <w:spacing w:after="120" w:line="276" w:lineRule="auto"/>
        <w:jc w:val="both"/>
        <w:rPr>
          <w:rFonts w:ascii="Arial" w:hAnsi="Arial" w:cs="Arial"/>
          <w:sz w:val="22"/>
          <w:szCs w:val="22"/>
        </w:rPr>
      </w:pPr>
      <w:proofErr w:type="gramStart"/>
      <w:r w:rsidRPr="0036083D">
        <w:rPr>
          <w:rFonts w:ascii="Arial" w:hAnsi="Arial" w:cs="Arial"/>
          <w:b/>
          <w:sz w:val="22"/>
          <w:szCs w:val="22"/>
        </w:rPr>
        <w:t>Data collection.</w:t>
      </w:r>
      <w:proofErr w:type="gramEnd"/>
      <w:r w:rsidRPr="0036083D">
        <w:rPr>
          <w:rFonts w:ascii="Arial" w:hAnsi="Arial" w:cs="Arial"/>
          <w:sz w:val="22"/>
          <w:szCs w:val="22"/>
        </w:rPr>
        <w:t xml:space="preserve"> </w:t>
      </w:r>
      <w:proofErr w:type="spellStart"/>
      <w:r w:rsidR="005E039E" w:rsidRPr="0036083D">
        <w:rPr>
          <w:rFonts w:ascii="Arial" w:hAnsi="Arial" w:cs="Arial"/>
          <w:sz w:val="22"/>
          <w:szCs w:val="22"/>
        </w:rPr>
        <w:t>Bancóldex</w:t>
      </w:r>
      <w:proofErr w:type="spellEnd"/>
      <w:r w:rsidRPr="0036083D">
        <w:rPr>
          <w:rFonts w:ascii="Arial" w:hAnsi="Arial" w:cs="Arial"/>
          <w:sz w:val="22"/>
          <w:szCs w:val="22"/>
        </w:rPr>
        <w:t xml:space="preserve"> will collect the necessary data from the information sources as indicated in Table </w:t>
      </w:r>
      <w:r w:rsidR="00A429BA" w:rsidRPr="0036083D">
        <w:rPr>
          <w:rFonts w:ascii="Arial" w:hAnsi="Arial" w:cs="Arial"/>
          <w:sz w:val="22"/>
          <w:szCs w:val="22"/>
        </w:rPr>
        <w:t>2</w:t>
      </w:r>
      <w:r w:rsidRPr="0036083D">
        <w:rPr>
          <w:rFonts w:ascii="Arial" w:hAnsi="Arial" w:cs="Arial"/>
          <w:sz w:val="22"/>
          <w:szCs w:val="22"/>
        </w:rPr>
        <w:t>.1, and by submitting annual reports to the IDB. I</w:t>
      </w:r>
      <w:r w:rsidR="00A429BA" w:rsidRPr="0036083D">
        <w:rPr>
          <w:rFonts w:ascii="Arial" w:hAnsi="Arial" w:cs="Arial"/>
          <w:sz w:val="22"/>
          <w:szCs w:val="22"/>
        </w:rPr>
        <w:t xml:space="preserve">nformation systems and planned support for monitoring </w:t>
      </w:r>
      <w:r w:rsidRPr="0036083D">
        <w:rPr>
          <w:rFonts w:ascii="Arial" w:hAnsi="Arial" w:cs="Arial"/>
          <w:sz w:val="22"/>
          <w:szCs w:val="22"/>
        </w:rPr>
        <w:t xml:space="preserve">in </w:t>
      </w:r>
      <w:proofErr w:type="spellStart"/>
      <w:r w:rsidR="005E039E" w:rsidRPr="0036083D">
        <w:rPr>
          <w:rFonts w:ascii="Arial" w:hAnsi="Arial" w:cs="Arial"/>
          <w:sz w:val="22"/>
          <w:szCs w:val="22"/>
        </w:rPr>
        <w:t>Bancóldex</w:t>
      </w:r>
      <w:proofErr w:type="spellEnd"/>
      <w:r w:rsidRPr="0036083D">
        <w:rPr>
          <w:rFonts w:ascii="Arial" w:hAnsi="Arial" w:cs="Arial"/>
          <w:sz w:val="22"/>
          <w:szCs w:val="22"/>
        </w:rPr>
        <w:t xml:space="preserve"> </w:t>
      </w:r>
      <w:proofErr w:type="gramStart"/>
      <w:r w:rsidRPr="0036083D">
        <w:rPr>
          <w:rFonts w:ascii="Arial" w:hAnsi="Arial" w:cs="Arial"/>
          <w:sz w:val="22"/>
          <w:szCs w:val="22"/>
        </w:rPr>
        <w:t>are considered</w:t>
      </w:r>
      <w:proofErr w:type="gramEnd"/>
      <w:r w:rsidRPr="0036083D">
        <w:rPr>
          <w:rFonts w:ascii="Arial" w:hAnsi="Arial" w:cs="Arial"/>
          <w:sz w:val="22"/>
          <w:szCs w:val="22"/>
        </w:rPr>
        <w:t xml:space="preserve"> sufficient to </w:t>
      </w:r>
      <w:r w:rsidR="00A429BA" w:rsidRPr="0036083D">
        <w:rPr>
          <w:rFonts w:ascii="Arial" w:hAnsi="Arial" w:cs="Arial"/>
          <w:sz w:val="22"/>
          <w:szCs w:val="22"/>
        </w:rPr>
        <w:t>follow</w:t>
      </w:r>
      <w:r w:rsidRPr="0036083D">
        <w:rPr>
          <w:rFonts w:ascii="Arial" w:hAnsi="Arial" w:cs="Arial"/>
          <w:sz w:val="22"/>
          <w:szCs w:val="22"/>
        </w:rPr>
        <w:t xml:space="preserve"> the proposed indicators. </w:t>
      </w:r>
    </w:p>
    <w:p w14:paraId="0EDD42FD" w14:textId="77777777" w:rsidR="00B742DC" w:rsidRPr="0036083D" w:rsidRDefault="005E039E" w:rsidP="0036083D">
      <w:pPr>
        <w:pStyle w:val="AutoNumpara"/>
        <w:spacing w:after="120" w:line="276" w:lineRule="auto"/>
        <w:jc w:val="both"/>
        <w:rPr>
          <w:rFonts w:ascii="Arial" w:hAnsi="Arial" w:cs="Arial"/>
          <w:sz w:val="22"/>
          <w:szCs w:val="22"/>
        </w:rPr>
      </w:pPr>
      <w:proofErr w:type="spellStart"/>
      <w:r w:rsidRPr="0036083D">
        <w:rPr>
          <w:rFonts w:ascii="Arial" w:hAnsi="Arial" w:cs="Arial"/>
          <w:sz w:val="22"/>
          <w:szCs w:val="22"/>
        </w:rPr>
        <w:t>Bancóldex</w:t>
      </w:r>
      <w:proofErr w:type="spellEnd"/>
      <w:r w:rsidR="00B742DC" w:rsidRPr="0036083D">
        <w:rPr>
          <w:rFonts w:ascii="Arial" w:hAnsi="Arial" w:cs="Arial"/>
          <w:sz w:val="22"/>
          <w:szCs w:val="22"/>
        </w:rPr>
        <w:t xml:space="preserve"> makes systematic field visits to monitor the risk and monitor their financing programs. </w:t>
      </w:r>
      <w:proofErr w:type="gramStart"/>
      <w:r w:rsidR="00B742DC" w:rsidRPr="0036083D">
        <w:rPr>
          <w:rFonts w:ascii="Arial" w:hAnsi="Arial" w:cs="Arial"/>
          <w:sz w:val="22"/>
          <w:szCs w:val="22"/>
        </w:rPr>
        <w:t>Supervision visits are also carried out by Bank’s staff members</w:t>
      </w:r>
      <w:proofErr w:type="gramEnd"/>
      <w:r w:rsidR="00B742DC" w:rsidRPr="0036083D">
        <w:rPr>
          <w:rFonts w:ascii="Arial" w:hAnsi="Arial" w:cs="Arial"/>
          <w:sz w:val="22"/>
          <w:szCs w:val="22"/>
        </w:rPr>
        <w:t xml:space="preserve">, an activity that is included in this monitoring and evaluation plan. </w:t>
      </w:r>
    </w:p>
    <w:p w14:paraId="595F8E65" w14:textId="77777777" w:rsidR="00815DE1" w:rsidRPr="0036083D" w:rsidRDefault="00815DE1" w:rsidP="0036083D">
      <w:pPr>
        <w:spacing w:after="120" w:line="276" w:lineRule="auto"/>
        <w:jc w:val="both"/>
        <w:rPr>
          <w:rFonts w:ascii="Arial" w:hAnsi="Arial" w:cs="Arial"/>
          <w:sz w:val="22"/>
          <w:szCs w:val="22"/>
        </w:rPr>
      </w:pPr>
    </w:p>
    <w:p w14:paraId="41E69228" w14:textId="77777777" w:rsidR="00C14D69" w:rsidRPr="0036083D" w:rsidRDefault="00C14D69" w:rsidP="0036083D">
      <w:pPr>
        <w:pStyle w:val="ListParagraph"/>
        <w:numPr>
          <w:ilvl w:val="0"/>
          <w:numId w:val="9"/>
        </w:numPr>
        <w:spacing w:after="120" w:line="276" w:lineRule="auto"/>
        <w:contextualSpacing w:val="0"/>
        <w:jc w:val="both"/>
        <w:rPr>
          <w:rFonts w:ascii="Arial" w:hAnsi="Arial" w:cs="Arial"/>
          <w:b/>
          <w:sz w:val="22"/>
          <w:szCs w:val="22"/>
        </w:rPr>
      </w:pPr>
      <w:r w:rsidRPr="0036083D">
        <w:rPr>
          <w:rFonts w:ascii="Arial" w:hAnsi="Arial" w:cs="Arial"/>
          <w:b/>
          <w:sz w:val="22"/>
          <w:szCs w:val="22"/>
        </w:rPr>
        <w:t>Technical Aspects of Selected Methodology</w:t>
      </w:r>
    </w:p>
    <w:p w14:paraId="4581DDBA" w14:textId="4A975CBD" w:rsidR="00031BF0" w:rsidRDefault="00031BF0" w:rsidP="0036083D">
      <w:pPr>
        <w:pStyle w:val="AutoNumpara"/>
        <w:spacing w:after="120" w:line="276" w:lineRule="auto"/>
        <w:jc w:val="both"/>
        <w:rPr>
          <w:rFonts w:ascii="Arial" w:hAnsi="Arial" w:cs="Arial"/>
          <w:sz w:val="22"/>
          <w:szCs w:val="22"/>
        </w:rPr>
      </w:pPr>
      <w:r w:rsidRPr="0036083D">
        <w:rPr>
          <w:rFonts w:ascii="Arial" w:hAnsi="Arial" w:cs="Arial"/>
          <w:sz w:val="22"/>
          <w:szCs w:val="22"/>
        </w:rPr>
        <w:t xml:space="preserve">The execution of an ex-post cost benefit analysis is highly dependent to the data collection of indicators set out in the monitoring work plan. For the methodology to be </w:t>
      </w:r>
      <w:proofErr w:type="gramStart"/>
      <w:r w:rsidRPr="0036083D">
        <w:rPr>
          <w:rFonts w:ascii="Arial" w:hAnsi="Arial" w:cs="Arial"/>
          <w:sz w:val="22"/>
          <w:szCs w:val="22"/>
        </w:rPr>
        <w:t>effective</w:t>
      </w:r>
      <w:proofErr w:type="gramEnd"/>
      <w:r w:rsidRPr="0036083D">
        <w:rPr>
          <w:rFonts w:ascii="Arial" w:hAnsi="Arial" w:cs="Arial"/>
          <w:sz w:val="22"/>
          <w:szCs w:val="22"/>
        </w:rPr>
        <w:t xml:space="preserve"> it is very important to have the information gathered for the monitoring indicators concerning</w:t>
      </w:r>
      <w:r w:rsidR="005D0F02" w:rsidRPr="0036083D">
        <w:rPr>
          <w:rFonts w:ascii="Arial" w:hAnsi="Arial" w:cs="Arial"/>
          <w:sz w:val="22"/>
          <w:szCs w:val="22"/>
        </w:rPr>
        <w:t xml:space="preserve"> the results matrix (see Table 2</w:t>
      </w:r>
      <w:r w:rsidRPr="0036083D">
        <w:rPr>
          <w:rFonts w:ascii="Arial" w:hAnsi="Arial" w:cs="Arial"/>
          <w:sz w:val="22"/>
          <w:szCs w:val="22"/>
        </w:rPr>
        <w:t>.1).</w:t>
      </w:r>
    </w:p>
    <w:p w14:paraId="1594915E" w14:textId="77777777" w:rsidR="00C31215" w:rsidRPr="0036083D" w:rsidRDefault="00C31215" w:rsidP="00C31215">
      <w:pPr>
        <w:pStyle w:val="AutoNumpara"/>
        <w:numPr>
          <w:ilvl w:val="0"/>
          <w:numId w:val="0"/>
        </w:numPr>
        <w:spacing w:after="120" w:line="276" w:lineRule="auto"/>
        <w:ind w:left="720"/>
        <w:jc w:val="both"/>
        <w:rPr>
          <w:rFonts w:ascii="Arial" w:hAnsi="Arial" w:cs="Arial"/>
          <w:sz w:val="22"/>
          <w:szCs w:val="22"/>
        </w:rPr>
      </w:pPr>
    </w:p>
    <w:p w14:paraId="2223F034" w14:textId="77777777" w:rsidR="00031BF0" w:rsidRPr="0036083D" w:rsidRDefault="00031BF0" w:rsidP="0036083D">
      <w:pPr>
        <w:pStyle w:val="AutoNumpara"/>
        <w:numPr>
          <w:ilvl w:val="0"/>
          <w:numId w:val="0"/>
        </w:numPr>
        <w:spacing w:line="276" w:lineRule="auto"/>
        <w:ind w:left="720"/>
        <w:rPr>
          <w:rFonts w:ascii="Arial" w:hAnsi="Arial" w:cs="Arial"/>
        </w:rPr>
      </w:pPr>
    </w:p>
    <w:p w14:paraId="57C2C73E" w14:textId="77777777" w:rsidR="00C14D69" w:rsidRPr="0036083D" w:rsidRDefault="00C14D69" w:rsidP="0036083D">
      <w:pPr>
        <w:pStyle w:val="ListParagraph"/>
        <w:numPr>
          <w:ilvl w:val="0"/>
          <w:numId w:val="9"/>
        </w:numPr>
        <w:spacing w:after="120" w:line="276" w:lineRule="auto"/>
        <w:contextualSpacing w:val="0"/>
        <w:jc w:val="both"/>
        <w:rPr>
          <w:rFonts w:ascii="Arial" w:hAnsi="Arial" w:cs="Arial"/>
          <w:b/>
          <w:sz w:val="22"/>
          <w:szCs w:val="22"/>
        </w:rPr>
      </w:pPr>
      <w:r w:rsidRPr="0036083D">
        <w:rPr>
          <w:rFonts w:ascii="Arial" w:hAnsi="Arial" w:cs="Arial"/>
          <w:b/>
          <w:sz w:val="22"/>
          <w:szCs w:val="22"/>
        </w:rPr>
        <w:lastRenderedPageBreak/>
        <w:t>Reporting Evaluation Results</w:t>
      </w:r>
    </w:p>
    <w:p w14:paraId="666272E2" w14:textId="77777777" w:rsidR="00031BF0" w:rsidRPr="0036083D" w:rsidRDefault="005E039E" w:rsidP="0036083D">
      <w:pPr>
        <w:pStyle w:val="AutoNumpara"/>
        <w:spacing w:line="276" w:lineRule="auto"/>
        <w:jc w:val="both"/>
        <w:rPr>
          <w:rFonts w:ascii="Arial" w:hAnsi="Arial" w:cs="Arial"/>
          <w:sz w:val="22"/>
          <w:szCs w:val="22"/>
        </w:rPr>
      </w:pPr>
      <w:proofErr w:type="spellStart"/>
      <w:r w:rsidRPr="0036083D">
        <w:rPr>
          <w:rFonts w:ascii="Arial" w:hAnsi="Arial" w:cs="Arial"/>
          <w:sz w:val="22"/>
          <w:szCs w:val="22"/>
        </w:rPr>
        <w:t>Bancóldex</w:t>
      </w:r>
      <w:proofErr w:type="spellEnd"/>
      <w:r w:rsidR="00031BF0" w:rsidRPr="0036083D">
        <w:rPr>
          <w:rFonts w:ascii="Arial" w:hAnsi="Arial" w:cs="Arial"/>
          <w:sz w:val="22"/>
          <w:szCs w:val="22"/>
        </w:rPr>
        <w:t xml:space="preserve"> will report to IDB through annual reports on the defined indicators and in the detailed performance of the program. Based on the conclusions of these reports, </w:t>
      </w:r>
      <w:proofErr w:type="spellStart"/>
      <w:r w:rsidRPr="0036083D">
        <w:rPr>
          <w:rFonts w:ascii="Arial" w:hAnsi="Arial" w:cs="Arial"/>
          <w:sz w:val="22"/>
          <w:szCs w:val="22"/>
        </w:rPr>
        <w:t>Bancóldex</w:t>
      </w:r>
      <w:proofErr w:type="spellEnd"/>
      <w:r w:rsidR="00031BF0" w:rsidRPr="0036083D">
        <w:rPr>
          <w:rFonts w:ascii="Arial" w:hAnsi="Arial" w:cs="Arial"/>
          <w:sz w:val="22"/>
          <w:szCs w:val="22"/>
        </w:rPr>
        <w:t xml:space="preserve"> and IDB could introduce adjustments to the program. The executing agency will deliver the reports within 60 calendar days after the end of each year of the program’s implementation. The reports will include information regarding the evolution of the evaluation indicators as well as any other information considered relevant to the performance of the program. The Bank will be entitled to request additional information, if necessary.</w:t>
      </w:r>
    </w:p>
    <w:p w14:paraId="69DE2E60" w14:textId="77777777" w:rsidR="00031BF0" w:rsidRPr="0036083D" w:rsidRDefault="00031BF0" w:rsidP="0036083D">
      <w:pPr>
        <w:spacing w:after="120" w:line="276" w:lineRule="auto"/>
        <w:jc w:val="both"/>
        <w:rPr>
          <w:rFonts w:ascii="Arial" w:hAnsi="Arial" w:cs="Arial"/>
          <w:sz w:val="22"/>
          <w:szCs w:val="22"/>
        </w:rPr>
      </w:pPr>
    </w:p>
    <w:p w14:paraId="0BA616C2" w14:textId="77777777" w:rsidR="00C14D69" w:rsidRPr="0036083D" w:rsidRDefault="00C14D69" w:rsidP="0036083D">
      <w:pPr>
        <w:pStyle w:val="ListParagraph"/>
        <w:numPr>
          <w:ilvl w:val="0"/>
          <w:numId w:val="9"/>
        </w:numPr>
        <w:spacing w:after="120" w:line="276" w:lineRule="auto"/>
        <w:contextualSpacing w:val="0"/>
        <w:jc w:val="both"/>
        <w:rPr>
          <w:rFonts w:ascii="Arial" w:hAnsi="Arial" w:cs="Arial"/>
          <w:b/>
          <w:sz w:val="22"/>
          <w:szCs w:val="22"/>
        </w:rPr>
      </w:pPr>
      <w:r w:rsidRPr="0036083D">
        <w:rPr>
          <w:rFonts w:ascii="Arial" w:hAnsi="Arial" w:cs="Arial"/>
          <w:b/>
          <w:sz w:val="22"/>
          <w:szCs w:val="22"/>
        </w:rPr>
        <w:t>Complementary Evaluation (Optional)</w:t>
      </w:r>
    </w:p>
    <w:p w14:paraId="7DC3C9F1" w14:textId="77777777" w:rsidR="00031BF0" w:rsidRPr="0036083D" w:rsidRDefault="00031BF0" w:rsidP="0036083D">
      <w:pPr>
        <w:pStyle w:val="AutoNumpara"/>
        <w:spacing w:line="276" w:lineRule="auto"/>
        <w:jc w:val="both"/>
        <w:rPr>
          <w:rFonts w:ascii="Arial" w:hAnsi="Arial" w:cs="Arial"/>
          <w:sz w:val="22"/>
          <w:szCs w:val="22"/>
        </w:rPr>
      </w:pPr>
      <w:r w:rsidRPr="0036083D">
        <w:rPr>
          <w:rFonts w:ascii="Arial" w:hAnsi="Arial" w:cs="Arial"/>
          <w:sz w:val="22"/>
          <w:szCs w:val="22"/>
        </w:rPr>
        <w:t>Besides the annual reports and the scheduled contacts for monitoring of the operations car</w:t>
      </w:r>
      <w:r w:rsidR="009D7232" w:rsidRPr="0036083D">
        <w:rPr>
          <w:rFonts w:ascii="Arial" w:hAnsi="Arial" w:cs="Arial"/>
          <w:sz w:val="22"/>
          <w:szCs w:val="22"/>
        </w:rPr>
        <w:t xml:space="preserve">ried out under the program, </w:t>
      </w:r>
      <w:proofErr w:type="spellStart"/>
      <w:r w:rsidR="005E039E" w:rsidRPr="0036083D">
        <w:rPr>
          <w:rFonts w:ascii="Arial" w:hAnsi="Arial" w:cs="Arial"/>
          <w:sz w:val="22"/>
          <w:szCs w:val="22"/>
        </w:rPr>
        <w:t>Bancóldex</w:t>
      </w:r>
      <w:proofErr w:type="spellEnd"/>
      <w:r w:rsidR="009D7232" w:rsidRPr="0036083D">
        <w:rPr>
          <w:rFonts w:ascii="Arial" w:hAnsi="Arial" w:cs="Arial"/>
          <w:sz w:val="22"/>
          <w:szCs w:val="22"/>
        </w:rPr>
        <w:t xml:space="preserve"> </w:t>
      </w:r>
      <w:r w:rsidRPr="0036083D">
        <w:rPr>
          <w:rFonts w:ascii="Arial" w:hAnsi="Arial" w:cs="Arial"/>
          <w:sz w:val="22"/>
          <w:szCs w:val="22"/>
        </w:rPr>
        <w:t>and the Bank will conduct a midterm evaluation within 36 months from the date of the first disbursement of financing. The evaluation will assess progress in accomplishing program objectives and outcomes based on the Results Matrix, in order to identify any corrective action required.</w:t>
      </w:r>
    </w:p>
    <w:p w14:paraId="5B272EF7" w14:textId="77777777" w:rsidR="00031BF0" w:rsidRDefault="00A17119" w:rsidP="0036083D">
      <w:pPr>
        <w:pStyle w:val="AutoNumpara"/>
        <w:spacing w:line="276" w:lineRule="auto"/>
        <w:jc w:val="both"/>
        <w:rPr>
          <w:rFonts w:ascii="Arial" w:hAnsi="Arial" w:cs="Arial"/>
          <w:sz w:val="22"/>
          <w:szCs w:val="22"/>
        </w:rPr>
      </w:pPr>
      <w:r w:rsidRPr="0036083D">
        <w:rPr>
          <w:rFonts w:ascii="Arial" w:hAnsi="Arial" w:cs="Arial"/>
          <w:sz w:val="22"/>
          <w:szCs w:val="22"/>
        </w:rPr>
        <w:t xml:space="preserve">An extended project monitoring report (XPMR) and a Project Completion Report (PCR) </w:t>
      </w:r>
      <w:proofErr w:type="gramStart"/>
      <w:r w:rsidRPr="0036083D">
        <w:rPr>
          <w:rFonts w:ascii="Arial" w:hAnsi="Arial" w:cs="Arial"/>
          <w:sz w:val="22"/>
          <w:szCs w:val="22"/>
        </w:rPr>
        <w:t>have been planned, to be carried</w:t>
      </w:r>
      <w:proofErr w:type="gramEnd"/>
      <w:r w:rsidRPr="0036083D">
        <w:rPr>
          <w:rFonts w:ascii="Arial" w:hAnsi="Arial" w:cs="Arial"/>
          <w:sz w:val="22"/>
          <w:szCs w:val="22"/>
        </w:rPr>
        <w:t xml:space="preserve"> out six months after the disbursement conditions for the last operation under the program have been met. The PCR will evaluate the fulfillment of targets and review the results of the operation. The assumptions in the Results Matrix </w:t>
      </w:r>
      <w:proofErr w:type="gramStart"/>
      <w:r w:rsidRPr="0036083D">
        <w:rPr>
          <w:rFonts w:ascii="Arial" w:hAnsi="Arial" w:cs="Arial"/>
          <w:sz w:val="22"/>
          <w:szCs w:val="22"/>
        </w:rPr>
        <w:t>will be taken</w:t>
      </w:r>
      <w:proofErr w:type="gramEnd"/>
      <w:r w:rsidRPr="0036083D">
        <w:rPr>
          <w:rFonts w:ascii="Arial" w:hAnsi="Arial" w:cs="Arial"/>
          <w:sz w:val="22"/>
          <w:szCs w:val="22"/>
        </w:rPr>
        <w:t xml:space="preserve"> into consideration as well as the methodology explained in this document. </w:t>
      </w:r>
    </w:p>
    <w:p w14:paraId="7F99756C" w14:textId="77777777" w:rsidR="00C31215" w:rsidRPr="0036083D" w:rsidRDefault="00C31215" w:rsidP="00C31215">
      <w:pPr>
        <w:pStyle w:val="AutoNumpara"/>
        <w:numPr>
          <w:ilvl w:val="0"/>
          <w:numId w:val="0"/>
        </w:numPr>
        <w:spacing w:line="276" w:lineRule="auto"/>
        <w:ind w:left="720"/>
        <w:jc w:val="both"/>
        <w:rPr>
          <w:rFonts w:ascii="Arial" w:hAnsi="Arial" w:cs="Arial"/>
          <w:sz w:val="22"/>
          <w:szCs w:val="22"/>
        </w:rPr>
      </w:pPr>
    </w:p>
    <w:p w14:paraId="36117F54" w14:textId="77777777" w:rsidR="00C14D69" w:rsidRPr="0036083D" w:rsidRDefault="00C14D69" w:rsidP="0036083D">
      <w:pPr>
        <w:pStyle w:val="ListParagraph"/>
        <w:numPr>
          <w:ilvl w:val="0"/>
          <w:numId w:val="9"/>
        </w:numPr>
        <w:spacing w:after="120" w:line="276" w:lineRule="auto"/>
        <w:contextualSpacing w:val="0"/>
        <w:jc w:val="both"/>
        <w:rPr>
          <w:rFonts w:ascii="Arial" w:hAnsi="Arial" w:cs="Arial"/>
          <w:b/>
          <w:sz w:val="22"/>
          <w:szCs w:val="22"/>
        </w:rPr>
      </w:pPr>
      <w:r w:rsidRPr="0036083D">
        <w:rPr>
          <w:rFonts w:ascii="Arial" w:hAnsi="Arial" w:cs="Arial"/>
          <w:b/>
          <w:sz w:val="22"/>
          <w:szCs w:val="22"/>
        </w:rPr>
        <w:t>Evaluation Coordination, Work Plan and Budget</w:t>
      </w:r>
    </w:p>
    <w:p w14:paraId="584E9633" w14:textId="77777777" w:rsidR="009D7232" w:rsidRPr="0036083D" w:rsidRDefault="005E039E" w:rsidP="0036083D">
      <w:pPr>
        <w:pStyle w:val="AutoNumpara"/>
        <w:spacing w:line="276" w:lineRule="auto"/>
        <w:jc w:val="both"/>
        <w:rPr>
          <w:rFonts w:ascii="Arial" w:hAnsi="Arial" w:cs="Arial"/>
          <w:sz w:val="22"/>
          <w:szCs w:val="22"/>
        </w:rPr>
      </w:pPr>
      <w:proofErr w:type="spellStart"/>
      <w:r w:rsidRPr="0036083D">
        <w:rPr>
          <w:rFonts w:ascii="Arial" w:hAnsi="Arial" w:cs="Arial"/>
          <w:sz w:val="22"/>
          <w:szCs w:val="22"/>
        </w:rPr>
        <w:t>Bancóldex</w:t>
      </w:r>
      <w:proofErr w:type="spellEnd"/>
      <w:r w:rsidR="009D7232" w:rsidRPr="0036083D">
        <w:rPr>
          <w:rFonts w:ascii="Arial" w:hAnsi="Arial" w:cs="Arial"/>
          <w:sz w:val="22"/>
          <w:szCs w:val="22"/>
        </w:rPr>
        <w:t xml:space="preserve"> will be responsible for the supervision, technical and administrative coordination of the program and perform the necessary reporting duties to the Bank.</w:t>
      </w:r>
    </w:p>
    <w:p w14:paraId="59E516D1" w14:textId="6C7057A0" w:rsidR="009D7232" w:rsidRPr="0036083D" w:rsidRDefault="009D7232" w:rsidP="0036083D">
      <w:pPr>
        <w:pStyle w:val="AutoNumpara"/>
        <w:spacing w:line="276" w:lineRule="auto"/>
        <w:jc w:val="both"/>
        <w:rPr>
          <w:rFonts w:ascii="Arial" w:hAnsi="Arial" w:cs="Arial"/>
          <w:sz w:val="22"/>
          <w:szCs w:val="22"/>
        </w:rPr>
      </w:pPr>
      <w:r w:rsidRPr="0036083D">
        <w:rPr>
          <w:rFonts w:ascii="Arial" w:hAnsi="Arial" w:cs="Arial"/>
          <w:sz w:val="22"/>
          <w:szCs w:val="22"/>
        </w:rPr>
        <w:t xml:space="preserve">For the implementation of this assessment, it </w:t>
      </w:r>
      <w:proofErr w:type="gramStart"/>
      <w:r w:rsidRPr="0036083D">
        <w:rPr>
          <w:rFonts w:ascii="Arial" w:hAnsi="Arial" w:cs="Arial"/>
          <w:sz w:val="22"/>
          <w:szCs w:val="22"/>
        </w:rPr>
        <w:t>is expected</w:t>
      </w:r>
      <w:proofErr w:type="gramEnd"/>
      <w:r w:rsidRPr="0036083D">
        <w:rPr>
          <w:rFonts w:ascii="Arial" w:hAnsi="Arial" w:cs="Arial"/>
          <w:sz w:val="22"/>
          <w:szCs w:val="22"/>
        </w:rPr>
        <w:t xml:space="preserve"> that </w:t>
      </w:r>
      <w:proofErr w:type="spellStart"/>
      <w:r w:rsidR="005E039E" w:rsidRPr="0036083D">
        <w:rPr>
          <w:rFonts w:ascii="Arial" w:hAnsi="Arial" w:cs="Arial"/>
          <w:sz w:val="22"/>
          <w:szCs w:val="22"/>
        </w:rPr>
        <w:t>Bancóldex</w:t>
      </w:r>
      <w:proofErr w:type="spellEnd"/>
      <w:r w:rsidRPr="0036083D">
        <w:rPr>
          <w:rFonts w:ascii="Arial" w:hAnsi="Arial" w:cs="Arial"/>
          <w:sz w:val="22"/>
          <w:szCs w:val="22"/>
        </w:rPr>
        <w:t xml:space="preserve"> will use its own staff, with the supervision of the IDB, which are considered adequate and sufficient to ensure the quality and success of the evaluation work. For activities that require additional expertise, </w:t>
      </w:r>
      <w:proofErr w:type="gramStart"/>
      <w:r w:rsidRPr="0036083D">
        <w:rPr>
          <w:rFonts w:ascii="Arial" w:hAnsi="Arial" w:cs="Arial"/>
          <w:sz w:val="22"/>
          <w:szCs w:val="22"/>
        </w:rPr>
        <w:t xml:space="preserve">consultancy services may be hired by </w:t>
      </w:r>
      <w:proofErr w:type="spellStart"/>
      <w:r w:rsidR="005E039E" w:rsidRPr="0036083D">
        <w:rPr>
          <w:rFonts w:ascii="Arial" w:hAnsi="Arial" w:cs="Arial"/>
          <w:sz w:val="22"/>
          <w:szCs w:val="22"/>
        </w:rPr>
        <w:t>Bancóldex</w:t>
      </w:r>
      <w:proofErr w:type="spellEnd"/>
      <w:r w:rsidRPr="0036083D">
        <w:rPr>
          <w:rFonts w:ascii="Arial" w:hAnsi="Arial" w:cs="Arial"/>
          <w:sz w:val="22"/>
          <w:szCs w:val="22"/>
        </w:rPr>
        <w:t xml:space="preserve"> or the IDB (see Table </w:t>
      </w:r>
      <w:r w:rsidR="00243F8A" w:rsidRPr="0036083D">
        <w:rPr>
          <w:rFonts w:ascii="Arial" w:hAnsi="Arial" w:cs="Arial"/>
          <w:sz w:val="22"/>
          <w:szCs w:val="22"/>
        </w:rPr>
        <w:t>2</w:t>
      </w:r>
      <w:r w:rsidRPr="0036083D">
        <w:rPr>
          <w:rFonts w:ascii="Arial" w:hAnsi="Arial" w:cs="Arial"/>
          <w:sz w:val="22"/>
          <w:szCs w:val="22"/>
        </w:rPr>
        <w:t>.</w:t>
      </w:r>
      <w:r w:rsidR="005D0F02" w:rsidRPr="0036083D">
        <w:rPr>
          <w:rFonts w:ascii="Arial" w:hAnsi="Arial" w:cs="Arial"/>
          <w:sz w:val="22"/>
          <w:szCs w:val="22"/>
        </w:rPr>
        <w:t>1</w:t>
      </w:r>
      <w:r w:rsidRPr="0036083D">
        <w:rPr>
          <w:rFonts w:ascii="Arial" w:hAnsi="Arial" w:cs="Arial"/>
          <w:sz w:val="22"/>
          <w:szCs w:val="22"/>
        </w:rPr>
        <w:t>)</w:t>
      </w:r>
      <w:proofErr w:type="gramEnd"/>
      <w:r w:rsidRPr="0036083D">
        <w:rPr>
          <w:rFonts w:ascii="Arial" w:hAnsi="Arial" w:cs="Arial"/>
          <w:sz w:val="22"/>
          <w:szCs w:val="22"/>
        </w:rPr>
        <w:t>.</w:t>
      </w:r>
    </w:p>
    <w:p w14:paraId="44A9262B" w14:textId="4FBAA5EB" w:rsidR="009D7232" w:rsidRPr="0036083D" w:rsidRDefault="005E039E" w:rsidP="0036083D">
      <w:pPr>
        <w:pStyle w:val="AutoNumpara"/>
        <w:spacing w:line="276" w:lineRule="auto"/>
        <w:jc w:val="both"/>
        <w:rPr>
          <w:rFonts w:ascii="Arial" w:hAnsi="Arial" w:cs="Arial"/>
          <w:sz w:val="22"/>
          <w:szCs w:val="22"/>
        </w:rPr>
      </w:pPr>
      <w:proofErr w:type="spellStart"/>
      <w:r w:rsidRPr="0036083D">
        <w:rPr>
          <w:rFonts w:ascii="Arial" w:hAnsi="Arial" w:cs="Arial"/>
          <w:sz w:val="22"/>
          <w:szCs w:val="22"/>
        </w:rPr>
        <w:t>Bancóldex</w:t>
      </w:r>
      <w:proofErr w:type="spellEnd"/>
      <w:r w:rsidR="009D7232" w:rsidRPr="0036083D">
        <w:rPr>
          <w:rFonts w:ascii="Arial" w:hAnsi="Arial" w:cs="Arial"/>
          <w:sz w:val="22"/>
          <w:szCs w:val="22"/>
        </w:rPr>
        <w:t xml:space="preserve"> and the IDB will conduct a midterm evaluation </w:t>
      </w:r>
      <w:r w:rsidR="00EA55AE">
        <w:rPr>
          <w:rFonts w:ascii="Arial" w:hAnsi="Arial" w:cs="Arial"/>
          <w:sz w:val="22"/>
          <w:szCs w:val="22"/>
        </w:rPr>
        <w:t>once 50% of the program funds allocated to eligible beneficiaries is committed.</w:t>
      </w:r>
      <w:r w:rsidR="009D7232" w:rsidRPr="0036083D">
        <w:rPr>
          <w:rFonts w:ascii="Arial" w:hAnsi="Arial" w:cs="Arial"/>
          <w:sz w:val="22"/>
          <w:szCs w:val="22"/>
        </w:rPr>
        <w:t xml:space="preserve"> The evaluation will assess progress in accomplishing program objectives and outcomes based on the Results Matrix in order to identify any corrective action required. Periodical monitoring meetings are also scheduled. The executing agency will provide the information necessary for the Bank to conduct a Project Completion Report (PCR), to </w:t>
      </w:r>
      <w:proofErr w:type="gramStart"/>
      <w:r w:rsidR="009D7232" w:rsidRPr="0036083D">
        <w:rPr>
          <w:rFonts w:ascii="Arial" w:hAnsi="Arial" w:cs="Arial"/>
          <w:sz w:val="22"/>
          <w:szCs w:val="22"/>
        </w:rPr>
        <w:t>be carried</w:t>
      </w:r>
      <w:proofErr w:type="gramEnd"/>
      <w:r w:rsidR="009D7232" w:rsidRPr="0036083D">
        <w:rPr>
          <w:rFonts w:ascii="Arial" w:hAnsi="Arial" w:cs="Arial"/>
          <w:sz w:val="22"/>
          <w:szCs w:val="22"/>
        </w:rPr>
        <w:t xml:space="preserve"> out six months after the </w:t>
      </w:r>
      <w:r w:rsidR="00120920">
        <w:rPr>
          <w:rFonts w:ascii="Arial" w:hAnsi="Arial" w:cs="Arial"/>
          <w:sz w:val="22"/>
          <w:szCs w:val="22"/>
        </w:rPr>
        <w:t>last disb</w:t>
      </w:r>
      <w:bookmarkStart w:id="1" w:name="_GoBack"/>
      <w:bookmarkEnd w:id="1"/>
      <w:r w:rsidR="00120920">
        <w:rPr>
          <w:rFonts w:ascii="Arial" w:hAnsi="Arial" w:cs="Arial"/>
          <w:sz w:val="22"/>
          <w:szCs w:val="22"/>
        </w:rPr>
        <w:t>ursement date</w:t>
      </w:r>
      <w:r w:rsidR="009D7232" w:rsidRPr="0036083D">
        <w:rPr>
          <w:rFonts w:ascii="Arial" w:hAnsi="Arial" w:cs="Arial"/>
          <w:sz w:val="22"/>
          <w:szCs w:val="22"/>
        </w:rPr>
        <w:t>.</w:t>
      </w:r>
    </w:p>
    <w:p w14:paraId="282A1C16" w14:textId="23361EB8" w:rsidR="005E039E" w:rsidRPr="0036083D" w:rsidRDefault="005E039E" w:rsidP="0036083D">
      <w:pPr>
        <w:pStyle w:val="AutoNumpara"/>
        <w:spacing w:line="276" w:lineRule="auto"/>
        <w:jc w:val="both"/>
        <w:rPr>
          <w:rFonts w:ascii="Arial" w:hAnsi="Arial" w:cs="Arial"/>
          <w:sz w:val="22"/>
          <w:szCs w:val="22"/>
        </w:rPr>
      </w:pPr>
      <w:r w:rsidRPr="0036083D">
        <w:rPr>
          <w:rFonts w:ascii="Arial" w:hAnsi="Arial" w:cs="Arial"/>
          <w:sz w:val="22"/>
          <w:szCs w:val="22"/>
        </w:rPr>
        <w:t>The Bank, through its Division of IFD/CMF</w:t>
      </w:r>
      <w:r w:rsidR="002F0B65" w:rsidRPr="0036083D">
        <w:rPr>
          <w:rFonts w:ascii="Arial" w:hAnsi="Arial" w:cs="Arial"/>
          <w:sz w:val="22"/>
          <w:szCs w:val="22"/>
        </w:rPr>
        <w:t>,</w:t>
      </w:r>
      <w:r w:rsidRPr="0036083D">
        <w:rPr>
          <w:rFonts w:ascii="Arial" w:hAnsi="Arial" w:cs="Arial"/>
          <w:sz w:val="22"/>
          <w:szCs w:val="22"/>
        </w:rPr>
        <w:t xml:space="preserve"> </w:t>
      </w:r>
      <w:r w:rsidR="002F0B65" w:rsidRPr="0036083D">
        <w:rPr>
          <w:rFonts w:ascii="Arial" w:hAnsi="Arial" w:cs="Arial"/>
          <w:sz w:val="22"/>
          <w:szCs w:val="22"/>
        </w:rPr>
        <w:t xml:space="preserve">INE/ENE </w:t>
      </w:r>
      <w:r w:rsidRPr="0036083D">
        <w:rPr>
          <w:rFonts w:ascii="Arial" w:hAnsi="Arial" w:cs="Arial"/>
          <w:sz w:val="22"/>
          <w:szCs w:val="22"/>
        </w:rPr>
        <w:t xml:space="preserve">and INE/CCS, with support from the Office of Strategic Planning and Development Effectiveness (SPD), will collaborate with </w:t>
      </w:r>
      <w:proofErr w:type="spellStart"/>
      <w:r w:rsidR="00140CFC" w:rsidRPr="0036083D">
        <w:rPr>
          <w:rFonts w:ascii="Arial" w:hAnsi="Arial" w:cs="Arial"/>
          <w:sz w:val="22"/>
          <w:szCs w:val="22"/>
        </w:rPr>
        <w:t>Bancóldex</w:t>
      </w:r>
      <w:proofErr w:type="spellEnd"/>
      <w:r w:rsidRPr="0036083D">
        <w:rPr>
          <w:rFonts w:ascii="Arial" w:hAnsi="Arial" w:cs="Arial"/>
          <w:sz w:val="22"/>
          <w:szCs w:val="22"/>
        </w:rPr>
        <w:t xml:space="preserve"> in any aspects required and requested. The Bank </w:t>
      </w:r>
      <w:r w:rsidRPr="0036083D">
        <w:rPr>
          <w:rFonts w:ascii="Arial" w:hAnsi="Arial" w:cs="Arial"/>
          <w:sz w:val="22"/>
          <w:szCs w:val="22"/>
        </w:rPr>
        <w:lastRenderedPageBreak/>
        <w:t>may provide technical and financial support to carry out the activities of specialized analysis on the economic assessment.</w:t>
      </w:r>
    </w:p>
    <w:p w14:paraId="28C3D19F" w14:textId="7C18C0CD" w:rsidR="00C14D69" w:rsidRPr="0036083D" w:rsidRDefault="005E039E" w:rsidP="0036083D">
      <w:pPr>
        <w:pStyle w:val="AutoNumpara"/>
        <w:spacing w:line="276" w:lineRule="auto"/>
        <w:jc w:val="both"/>
        <w:rPr>
          <w:rFonts w:ascii="Arial" w:hAnsi="Arial" w:cs="Arial"/>
          <w:sz w:val="22"/>
          <w:szCs w:val="22"/>
        </w:rPr>
      </w:pPr>
      <w:r w:rsidRPr="0036083D">
        <w:rPr>
          <w:rFonts w:ascii="Arial" w:hAnsi="Arial" w:cs="Arial"/>
          <w:sz w:val="22"/>
          <w:szCs w:val="22"/>
        </w:rPr>
        <w:t xml:space="preserve">The costs of the activities listed in this plan </w:t>
      </w:r>
      <w:proofErr w:type="gramStart"/>
      <w:r w:rsidRPr="0036083D">
        <w:rPr>
          <w:rFonts w:ascii="Arial" w:hAnsi="Arial" w:cs="Arial"/>
          <w:sz w:val="22"/>
          <w:szCs w:val="22"/>
        </w:rPr>
        <w:t>will be financed</w:t>
      </w:r>
      <w:proofErr w:type="gramEnd"/>
      <w:r w:rsidRPr="0036083D">
        <w:rPr>
          <w:rFonts w:ascii="Arial" w:hAnsi="Arial" w:cs="Arial"/>
          <w:sz w:val="22"/>
          <w:szCs w:val="22"/>
        </w:rPr>
        <w:t xml:space="preserve"> by the supervision budget included in the CTF funding and/or with transactional budget of the CMF division. Its completion </w:t>
      </w:r>
      <w:proofErr w:type="gramStart"/>
      <w:r w:rsidRPr="0036083D">
        <w:rPr>
          <w:rFonts w:ascii="Arial" w:hAnsi="Arial" w:cs="Arial"/>
          <w:sz w:val="22"/>
          <w:szCs w:val="22"/>
        </w:rPr>
        <w:t>is expected</w:t>
      </w:r>
      <w:proofErr w:type="gramEnd"/>
      <w:r w:rsidRPr="0036083D">
        <w:rPr>
          <w:rFonts w:ascii="Arial" w:hAnsi="Arial" w:cs="Arial"/>
          <w:sz w:val="22"/>
          <w:szCs w:val="22"/>
        </w:rPr>
        <w:t xml:space="preserve"> by the end of the execution period of the p</w:t>
      </w:r>
      <w:r w:rsidR="00243F8A" w:rsidRPr="0036083D">
        <w:rPr>
          <w:rFonts w:ascii="Arial" w:hAnsi="Arial" w:cs="Arial"/>
          <w:sz w:val="22"/>
          <w:szCs w:val="22"/>
        </w:rPr>
        <w:t>rogram (see details in Table 2</w:t>
      </w:r>
      <w:r w:rsidR="005D0F02" w:rsidRPr="0036083D">
        <w:rPr>
          <w:rFonts w:ascii="Arial" w:hAnsi="Arial" w:cs="Arial"/>
          <w:sz w:val="22"/>
          <w:szCs w:val="22"/>
        </w:rPr>
        <w:t>.</w:t>
      </w:r>
      <w:r w:rsidR="00243F8A" w:rsidRPr="0036083D">
        <w:rPr>
          <w:rFonts w:ascii="Arial" w:hAnsi="Arial" w:cs="Arial"/>
          <w:sz w:val="22"/>
          <w:szCs w:val="22"/>
        </w:rPr>
        <w:t>2</w:t>
      </w:r>
      <w:r w:rsidRPr="0036083D">
        <w:rPr>
          <w:rFonts w:ascii="Arial" w:hAnsi="Arial" w:cs="Arial"/>
          <w:sz w:val="22"/>
          <w:szCs w:val="22"/>
        </w:rPr>
        <w:t xml:space="preserve">). </w:t>
      </w:r>
      <w:proofErr w:type="spellStart"/>
      <w:r w:rsidRPr="0036083D">
        <w:rPr>
          <w:rFonts w:ascii="Arial" w:hAnsi="Arial" w:cs="Arial"/>
          <w:sz w:val="22"/>
          <w:szCs w:val="22"/>
        </w:rPr>
        <w:t>Bancóldex</w:t>
      </w:r>
      <w:proofErr w:type="spellEnd"/>
      <w:r w:rsidRPr="0036083D">
        <w:rPr>
          <w:rFonts w:ascii="Arial" w:hAnsi="Arial" w:cs="Arial"/>
          <w:sz w:val="22"/>
          <w:szCs w:val="22"/>
        </w:rPr>
        <w:t xml:space="preserve"> and the IDB have the structure and resources to ensure compliance with the tasks and commitments in this assessment plan. Any further evaluation with </w:t>
      </w:r>
      <w:proofErr w:type="gramStart"/>
      <w:r w:rsidRPr="0036083D">
        <w:rPr>
          <w:rFonts w:ascii="Arial" w:hAnsi="Arial" w:cs="Arial"/>
          <w:sz w:val="22"/>
          <w:szCs w:val="22"/>
        </w:rPr>
        <w:t>more specific purposes</w:t>
      </w:r>
      <w:proofErr w:type="gramEnd"/>
      <w:r w:rsidRPr="0036083D">
        <w:rPr>
          <w:rFonts w:ascii="Arial" w:hAnsi="Arial" w:cs="Arial"/>
          <w:sz w:val="22"/>
          <w:szCs w:val="22"/>
        </w:rPr>
        <w:t xml:space="preserve"> or seeking to determine externalities resulting from the execution of the program may be carried out if considered relevant, but will not be incorporated as part of this Monitoring and Evaluation Plan.</w:t>
      </w:r>
      <w:r w:rsidR="00243F8A" w:rsidRPr="0036083D">
        <w:rPr>
          <w:rFonts w:ascii="Arial" w:hAnsi="Arial" w:cs="Arial"/>
          <w:sz w:val="22"/>
          <w:szCs w:val="22"/>
        </w:rPr>
        <w:t xml:space="preserve"> </w:t>
      </w:r>
    </w:p>
    <w:sectPr w:rsidR="00C14D69" w:rsidRPr="0036083D" w:rsidSect="00E95940">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682E3" w14:textId="77777777" w:rsidR="00DE3C65" w:rsidRDefault="00DE3C65" w:rsidP="00F46CC1">
      <w:r>
        <w:separator/>
      </w:r>
    </w:p>
  </w:endnote>
  <w:endnote w:type="continuationSeparator" w:id="0">
    <w:p w14:paraId="49F44BC4" w14:textId="77777777" w:rsidR="00DE3C65" w:rsidRDefault="00DE3C65" w:rsidP="00F4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F4B77" w14:textId="77777777" w:rsidR="00DE3C65" w:rsidRDefault="00DE3C65" w:rsidP="00F46CC1">
      <w:r>
        <w:separator/>
      </w:r>
    </w:p>
  </w:footnote>
  <w:footnote w:type="continuationSeparator" w:id="0">
    <w:p w14:paraId="1B42026F" w14:textId="77777777" w:rsidR="00DE3C65" w:rsidRDefault="00DE3C65" w:rsidP="00F46CC1">
      <w:r>
        <w:continuationSeparator/>
      </w:r>
    </w:p>
  </w:footnote>
  <w:footnote w:id="1">
    <w:p w14:paraId="0C7A880E" w14:textId="69844E19" w:rsidR="0072597F" w:rsidRPr="00C31215" w:rsidRDefault="0072597F">
      <w:pPr>
        <w:pStyle w:val="FootnoteText"/>
        <w:rPr>
          <w:rFonts w:ascii="Arial" w:hAnsi="Arial" w:cs="Arial"/>
          <w:sz w:val="18"/>
          <w:szCs w:val="18"/>
        </w:rPr>
      </w:pPr>
      <w:r w:rsidRPr="00C31215">
        <w:rPr>
          <w:rStyle w:val="FootnoteReference"/>
          <w:rFonts w:ascii="Arial" w:hAnsi="Arial" w:cs="Arial"/>
          <w:sz w:val="18"/>
          <w:szCs w:val="18"/>
        </w:rPr>
        <w:footnoteRef/>
      </w:r>
      <w:r w:rsidRPr="00C31215">
        <w:rPr>
          <w:rFonts w:ascii="Arial" w:hAnsi="Arial" w:cs="Arial"/>
          <w:sz w:val="18"/>
          <w:szCs w:val="18"/>
        </w:rPr>
        <w:t xml:space="preserve"> See additional indicators described in the Result Matrix Annex.</w:t>
      </w:r>
    </w:p>
  </w:footnote>
  <w:footnote w:id="2">
    <w:p w14:paraId="2DFEB006" w14:textId="6ACCE751" w:rsidR="00E1393B" w:rsidRPr="00C31215" w:rsidRDefault="00E1393B">
      <w:pPr>
        <w:pStyle w:val="FootnoteText"/>
        <w:rPr>
          <w:sz w:val="18"/>
          <w:szCs w:val="18"/>
          <w:lang w:val="es-ES_tradnl"/>
        </w:rPr>
      </w:pPr>
      <w:r>
        <w:rPr>
          <w:rStyle w:val="FootnoteReference"/>
        </w:rPr>
        <w:footnoteRef/>
      </w:r>
      <w:r w:rsidRPr="00C31215">
        <w:rPr>
          <w:lang w:val="es-ES_tradnl"/>
        </w:rPr>
        <w:t xml:space="preserve"> </w:t>
      </w:r>
      <w:r w:rsidRPr="00C31215">
        <w:rPr>
          <w:rFonts w:ascii="Arial" w:hAnsi="Arial" w:cs="Arial"/>
          <w:sz w:val="18"/>
          <w:szCs w:val="18"/>
          <w:lang w:val="es-ES_tradnl"/>
        </w:rPr>
        <w:t xml:space="preserve">Instituto de Planificación y Promoción de Soluciones Energéticas para las Zonas no Interconectadas, and Superintendencia de Servicios </w:t>
      </w:r>
      <w:proofErr w:type="spellStart"/>
      <w:r w:rsidRPr="00C31215">
        <w:rPr>
          <w:rFonts w:ascii="Arial" w:hAnsi="Arial" w:cs="Arial"/>
          <w:sz w:val="18"/>
          <w:szCs w:val="18"/>
          <w:lang w:val="es-ES_tradnl"/>
        </w:rPr>
        <w:t>Publicos</w:t>
      </w:r>
      <w:proofErr w:type="spellEnd"/>
      <w:r w:rsidRPr="00C31215">
        <w:rPr>
          <w:rFonts w:ascii="Arial" w:hAnsi="Arial" w:cs="Arial"/>
          <w:sz w:val="18"/>
          <w:szCs w:val="18"/>
          <w:lang w:val="es-ES_tradnl"/>
        </w:rPr>
        <w:t xml:space="preserve"> Domiciliarios, </w:t>
      </w:r>
      <w:proofErr w:type="spellStart"/>
      <w:r w:rsidRPr="00C31215">
        <w:rPr>
          <w:rFonts w:ascii="Arial" w:hAnsi="Arial" w:cs="Arial"/>
          <w:sz w:val="18"/>
          <w:szCs w:val="18"/>
          <w:lang w:val="es-ES_tradnl"/>
        </w:rPr>
        <w:t>respectively</w:t>
      </w:r>
      <w:proofErr w:type="spellEnd"/>
      <w:r w:rsidRPr="00C31215">
        <w:rPr>
          <w:rFonts w:ascii="Arial" w:hAnsi="Arial" w:cs="Arial"/>
          <w:sz w:val="18"/>
          <w:szCs w:val="18"/>
          <w:lang w:val="es-ES_tradnl"/>
        </w:rPr>
        <w:t>.</w:t>
      </w:r>
    </w:p>
  </w:footnote>
  <w:footnote w:id="3">
    <w:p w14:paraId="5BB423DA" w14:textId="59AF8C1F" w:rsidR="001E10D5" w:rsidRPr="00C31215" w:rsidRDefault="001E10D5">
      <w:pPr>
        <w:pStyle w:val="FootnoteText"/>
        <w:rPr>
          <w:rFonts w:ascii="Arial" w:hAnsi="Arial" w:cs="Arial"/>
          <w:sz w:val="18"/>
          <w:szCs w:val="18"/>
        </w:rPr>
      </w:pPr>
      <w:r w:rsidRPr="00C31215">
        <w:rPr>
          <w:rStyle w:val="FootnoteReference"/>
          <w:rFonts w:ascii="Arial" w:hAnsi="Arial" w:cs="Arial"/>
          <w:sz w:val="18"/>
          <w:szCs w:val="18"/>
        </w:rPr>
        <w:footnoteRef/>
      </w:r>
      <w:r w:rsidRPr="00C31215">
        <w:rPr>
          <w:rFonts w:ascii="Arial" w:hAnsi="Arial" w:cs="Arial"/>
          <w:sz w:val="18"/>
          <w:szCs w:val="18"/>
        </w:rPr>
        <w:t xml:space="preserve"> The monitoring activities for each outcome indicator include annual surveys to non-beneficiaries to gather information for the ex-post evaluation. </w:t>
      </w:r>
      <w:proofErr w:type="spellStart"/>
      <w:r w:rsidRPr="00C31215">
        <w:rPr>
          <w:rFonts w:ascii="Arial" w:hAnsi="Arial" w:cs="Arial"/>
          <w:sz w:val="18"/>
          <w:szCs w:val="18"/>
        </w:rPr>
        <w:t>Th</w:t>
      </w:r>
      <w:r w:rsidR="00F34029">
        <w:rPr>
          <w:rFonts w:ascii="Arial" w:hAnsi="Arial" w:cs="Arial"/>
          <w:sz w:val="18"/>
          <w:szCs w:val="18"/>
        </w:rPr>
        <w:t>ese</w:t>
      </w:r>
      <w:r w:rsidRPr="00C31215">
        <w:rPr>
          <w:rFonts w:ascii="Arial" w:hAnsi="Arial" w:cs="Arial"/>
          <w:sz w:val="18"/>
          <w:szCs w:val="18"/>
        </w:rPr>
        <w:t>surveys</w:t>
      </w:r>
      <w:proofErr w:type="spellEnd"/>
      <w:r w:rsidRPr="00C31215">
        <w:rPr>
          <w:rFonts w:ascii="Arial" w:hAnsi="Arial" w:cs="Arial"/>
          <w:sz w:val="18"/>
          <w:szCs w:val="18"/>
        </w:rPr>
        <w:t xml:space="preserve"> </w:t>
      </w:r>
      <w:proofErr w:type="gramStart"/>
      <w:r w:rsidRPr="00C31215">
        <w:rPr>
          <w:rFonts w:ascii="Arial" w:hAnsi="Arial" w:cs="Arial"/>
          <w:sz w:val="18"/>
          <w:szCs w:val="18"/>
        </w:rPr>
        <w:t>will be conducted</w:t>
      </w:r>
      <w:proofErr w:type="gramEnd"/>
      <w:r w:rsidRPr="00C31215">
        <w:rPr>
          <w:rFonts w:ascii="Arial" w:hAnsi="Arial" w:cs="Arial"/>
          <w:sz w:val="18"/>
          <w:szCs w:val="18"/>
        </w:rPr>
        <w:t xml:space="preserve"> for every year for which IPSE and SSPD will not provide the required data. </w:t>
      </w:r>
    </w:p>
  </w:footnote>
  <w:footnote w:id="4">
    <w:p w14:paraId="0FAE4C60" w14:textId="095BAE41" w:rsidR="00E43EC6" w:rsidRPr="0036083D" w:rsidRDefault="00E43EC6">
      <w:pPr>
        <w:pStyle w:val="FootnoteText"/>
        <w:rPr>
          <w:rFonts w:ascii="Arial" w:hAnsi="Arial" w:cs="Arial"/>
          <w:sz w:val="18"/>
          <w:szCs w:val="18"/>
          <w:lang w:val="es-ES_tradnl"/>
        </w:rPr>
      </w:pPr>
      <w:r w:rsidRPr="0036083D">
        <w:rPr>
          <w:rStyle w:val="FootnoteReference"/>
          <w:rFonts w:ascii="Arial" w:hAnsi="Arial" w:cs="Arial"/>
          <w:sz w:val="18"/>
          <w:szCs w:val="18"/>
        </w:rPr>
        <w:footnoteRef/>
      </w:r>
      <w:r w:rsidRPr="0036083D">
        <w:rPr>
          <w:rFonts w:ascii="Arial" w:hAnsi="Arial" w:cs="Arial"/>
          <w:sz w:val="18"/>
          <w:szCs w:val="18"/>
          <w:lang w:val="es-ES_tradnl"/>
        </w:rPr>
        <w:t xml:space="preserve"> UPME (2015). </w:t>
      </w:r>
      <w:r w:rsidRPr="0036083D">
        <w:rPr>
          <w:rFonts w:ascii="Arial" w:hAnsi="Arial" w:cs="Arial"/>
          <w:i/>
          <w:sz w:val="18"/>
          <w:szCs w:val="18"/>
          <w:lang w:val="es-ES_tradnl"/>
        </w:rPr>
        <w:t>Plan de Expansión de Referencia Generación – Transmisión 2014-2028</w:t>
      </w:r>
    </w:p>
  </w:footnote>
  <w:footnote w:id="5">
    <w:p w14:paraId="66637157" w14:textId="0AF4F963" w:rsidR="00E43EC6" w:rsidRPr="0036083D" w:rsidRDefault="00E43EC6">
      <w:pPr>
        <w:pStyle w:val="FootnoteText"/>
        <w:rPr>
          <w:rFonts w:ascii="Arial" w:hAnsi="Arial" w:cs="Arial"/>
          <w:sz w:val="18"/>
          <w:szCs w:val="18"/>
        </w:rPr>
      </w:pPr>
      <w:r w:rsidRPr="0036083D">
        <w:rPr>
          <w:rStyle w:val="FootnoteReference"/>
          <w:rFonts w:ascii="Arial" w:hAnsi="Arial" w:cs="Arial"/>
          <w:sz w:val="18"/>
          <w:szCs w:val="18"/>
        </w:rPr>
        <w:footnoteRef/>
      </w:r>
      <w:r w:rsidRPr="0036083D">
        <w:rPr>
          <w:rFonts w:ascii="Arial" w:hAnsi="Arial" w:cs="Arial"/>
          <w:sz w:val="18"/>
          <w:szCs w:val="18"/>
        </w:rPr>
        <w:t xml:space="preserve"> See the Economic Analysis Annex</w:t>
      </w:r>
    </w:p>
  </w:footnote>
  <w:footnote w:id="6">
    <w:p w14:paraId="46BE83BC" w14:textId="76277589" w:rsidR="0050254E" w:rsidRPr="00C31215" w:rsidRDefault="0050254E">
      <w:pPr>
        <w:pStyle w:val="FootnoteText"/>
        <w:rPr>
          <w:rFonts w:ascii="Arial" w:hAnsi="Arial" w:cs="Arial"/>
          <w:sz w:val="18"/>
          <w:szCs w:val="18"/>
        </w:rPr>
      </w:pPr>
      <w:r w:rsidRPr="00C31215">
        <w:rPr>
          <w:rStyle w:val="FootnoteReference"/>
          <w:rFonts w:ascii="Arial" w:hAnsi="Arial" w:cs="Arial"/>
          <w:sz w:val="18"/>
          <w:szCs w:val="18"/>
        </w:rPr>
        <w:footnoteRef/>
      </w:r>
      <w:r w:rsidRPr="00C31215">
        <w:rPr>
          <w:rFonts w:ascii="Arial" w:hAnsi="Arial" w:cs="Arial"/>
          <w:sz w:val="18"/>
          <w:szCs w:val="18"/>
        </w:rPr>
        <w:t xml:space="preserve"> These characteristics </w:t>
      </w:r>
      <w:proofErr w:type="gramStart"/>
      <w:r w:rsidRPr="00C31215">
        <w:rPr>
          <w:rFonts w:ascii="Arial" w:hAnsi="Arial" w:cs="Arial"/>
          <w:sz w:val="18"/>
          <w:szCs w:val="18"/>
        </w:rPr>
        <w:t>are:</w:t>
      </w:r>
      <w:proofErr w:type="gramEnd"/>
      <w:r w:rsidRPr="00C31215">
        <w:rPr>
          <w:rFonts w:ascii="Arial" w:hAnsi="Arial" w:cs="Arial"/>
          <w:sz w:val="18"/>
          <w:szCs w:val="18"/>
        </w:rPr>
        <w:t xml:space="preserve"> technologies used, installed capacity, annual generation, average hours of electricity generated, number of users in localities served.</w:t>
      </w:r>
      <w:r w:rsidR="0040578F" w:rsidRPr="00C31215">
        <w:rPr>
          <w:rFonts w:ascii="Arial" w:hAnsi="Arial" w:cs="Arial"/>
          <w:sz w:val="18"/>
          <w:szCs w:val="18"/>
        </w:rPr>
        <w:t xml:space="preserve"> </w:t>
      </w:r>
    </w:p>
  </w:footnote>
  <w:footnote w:id="7">
    <w:p w14:paraId="29170C71" w14:textId="41AFB99D" w:rsidR="0040578F" w:rsidRDefault="0040578F">
      <w:pPr>
        <w:pStyle w:val="FootnoteText"/>
      </w:pPr>
      <w:r w:rsidRPr="00C31215">
        <w:rPr>
          <w:rStyle w:val="FootnoteReference"/>
          <w:rFonts w:ascii="Arial" w:hAnsi="Arial" w:cs="Arial"/>
          <w:sz w:val="18"/>
          <w:szCs w:val="18"/>
        </w:rPr>
        <w:footnoteRef/>
      </w:r>
      <w:r w:rsidRPr="00C31215">
        <w:rPr>
          <w:rFonts w:ascii="Arial" w:hAnsi="Arial" w:cs="Arial"/>
          <w:sz w:val="18"/>
          <w:szCs w:val="18"/>
        </w:rPr>
        <w:t xml:space="preserve"> As the Analysis of Demand for Credit for Investments in Renewable Energy in ZNI (see POD Annex) estimates, there is a demand for investments in RE in ZNIs that is much larger that the funds </w:t>
      </w:r>
      <w:r w:rsidR="0011197A" w:rsidRPr="00C31215">
        <w:rPr>
          <w:rFonts w:ascii="Arial" w:hAnsi="Arial" w:cs="Arial"/>
          <w:sz w:val="18"/>
          <w:szCs w:val="18"/>
        </w:rPr>
        <w:t xml:space="preserve">to be provided by </w:t>
      </w:r>
      <w:r w:rsidRPr="00C31215">
        <w:rPr>
          <w:rFonts w:ascii="Arial" w:hAnsi="Arial" w:cs="Arial"/>
          <w:sz w:val="18"/>
          <w:szCs w:val="18"/>
        </w:rPr>
        <w:t>the program. Hence, it is expected that there will be a significant number of operators/investors that will</w:t>
      </w:r>
      <w:r>
        <w:t xml:space="preserve"> </w:t>
      </w:r>
      <w:r w:rsidRPr="00C31215">
        <w:rPr>
          <w:rFonts w:ascii="Arial" w:hAnsi="Arial" w:cs="Arial"/>
          <w:sz w:val="18"/>
          <w:szCs w:val="18"/>
        </w:rPr>
        <w:t xml:space="preserve">not be able to be financed and that share similar characteristics to the final beneficiaries. </w:t>
      </w:r>
      <w:r w:rsidR="00603607" w:rsidRPr="009F0EF8">
        <w:rPr>
          <w:rFonts w:ascii="Arial" w:hAnsi="Arial" w:cs="Arial"/>
          <w:sz w:val="18"/>
          <w:szCs w:val="18"/>
        </w:rPr>
        <w:t>However, t</w:t>
      </w:r>
      <w:r w:rsidR="0011197A" w:rsidRPr="00C31215">
        <w:rPr>
          <w:rFonts w:ascii="Arial" w:hAnsi="Arial" w:cs="Arial"/>
          <w:sz w:val="18"/>
          <w:szCs w:val="18"/>
        </w:rPr>
        <w:t xml:space="preserve">he identification of these control group members will depend of the availability of information provided by financial intermediaries. </w:t>
      </w:r>
    </w:p>
  </w:footnote>
  <w:footnote w:id="8">
    <w:p w14:paraId="5F20A1D2" w14:textId="4C99F5D9" w:rsidR="00504E94" w:rsidRPr="00C31215" w:rsidRDefault="00504E94">
      <w:pPr>
        <w:pStyle w:val="FootnoteText"/>
        <w:rPr>
          <w:rFonts w:ascii="Arial" w:hAnsi="Arial" w:cs="Arial"/>
          <w:sz w:val="18"/>
          <w:szCs w:val="18"/>
        </w:rPr>
      </w:pPr>
      <w:r w:rsidRPr="00C31215">
        <w:rPr>
          <w:rStyle w:val="FootnoteReference"/>
          <w:rFonts w:ascii="Arial" w:hAnsi="Arial" w:cs="Arial"/>
          <w:sz w:val="18"/>
          <w:szCs w:val="18"/>
        </w:rPr>
        <w:footnoteRef/>
      </w:r>
      <w:r w:rsidRPr="00C31215">
        <w:rPr>
          <w:rFonts w:ascii="Arial" w:hAnsi="Arial" w:cs="Arial"/>
          <w:sz w:val="18"/>
          <w:szCs w:val="18"/>
        </w:rPr>
        <w:t xml:space="preserve"> See table 2.1 for further details.</w:t>
      </w:r>
    </w:p>
  </w:footnote>
  <w:footnote w:id="9">
    <w:p w14:paraId="3EE295DA" w14:textId="77777777" w:rsidR="00E43EC6" w:rsidRPr="0036083D" w:rsidRDefault="00E43EC6">
      <w:pPr>
        <w:pStyle w:val="FootnoteText"/>
        <w:rPr>
          <w:rFonts w:ascii="Arial" w:hAnsi="Arial" w:cs="Arial"/>
          <w:sz w:val="18"/>
          <w:szCs w:val="18"/>
        </w:rPr>
      </w:pPr>
      <w:r w:rsidRPr="0036083D">
        <w:rPr>
          <w:rStyle w:val="FootnoteReference"/>
          <w:rFonts w:ascii="Arial" w:hAnsi="Arial" w:cs="Arial"/>
          <w:sz w:val="18"/>
          <w:szCs w:val="18"/>
        </w:rPr>
        <w:footnoteRef/>
      </w:r>
      <w:r w:rsidRPr="0036083D">
        <w:rPr>
          <w:rFonts w:ascii="Arial" w:hAnsi="Arial" w:cs="Arial"/>
          <w:sz w:val="18"/>
          <w:szCs w:val="18"/>
        </w:rPr>
        <w:t xml:space="preserve"> For an illustration of this procedure, see the Economic Analysis Annex.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796"/>
    <w:multiLevelType w:val="hybridMultilevel"/>
    <w:tmpl w:val="51EC2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27BC2"/>
    <w:multiLevelType w:val="hybridMultilevel"/>
    <w:tmpl w:val="E0140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D21EE"/>
    <w:multiLevelType w:val="hybridMultilevel"/>
    <w:tmpl w:val="CF9AD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E777EE"/>
    <w:multiLevelType w:val="hybridMultilevel"/>
    <w:tmpl w:val="1806E8F4"/>
    <w:lvl w:ilvl="0" w:tplc="29C609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EA7C43"/>
    <w:multiLevelType w:val="hybridMultilevel"/>
    <w:tmpl w:val="6D026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C1D8F"/>
    <w:multiLevelType w:val="hybridMultilevel"/>
    <w:tmpl w:val="7FCC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351BB"/>
    <w:multiLevelType w:val="hybridMultilevel"/>
    <w:tmpl w:val="9AAC47C6"/>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7F21A9"/>
    <w:multiLevelType w:val="multilevel"/>
    <w:tmpl w:val="9DDA646E"/>
    <w:lvl w:ilvl="0">
      <w:start w:val="1"/>
      <w:numFmt w:val="upperRoman"/>
      <w:pStyle w:val="Heading1"/>
      <w:lvlText w:val="%1."/>
      <w:lvlJc w:val="center"/>
      <w:pPr>
        <w:tabs>
          <w:tab w:val="num" w:pos="360"/>
        </w:tabs>
        <w:ind w:left="288" w:hanging="288"/>
      </w:pPr>
      <w:rPr>
        <w:rFonts w:ascii="Arial" w:hAnsi="Arial" w:cs="Arial" w:hint="default"/>
        <w:b/>
        <w:i w:val="0"/>
        <w:sz w:val="22"/>
        <w:szCs w:val="22"/>
      </w:rPr>
    </w:lvl>
    <w:lvl w:ilvl="1">
      <w:start w:val="1"/>
      <w:numFmt w:val="decimal"/>
      <w:pStyle w:val="AutoNumpara"/>
      <w:isLgl/>
      <w:lvlText w:val="%1.%2"/>
      <w:lvlJc w:val="left"/>
      <w:pPr>
        <w:tabs>
          <w:tab w:val="num" w:pos="720"/>
        </w:tabs>
        <w:ind w:left="720" w:hanging="720"/>
      </w:pPr>
      <w:rPr>
        <w:rFonts w:hint="default"/>
        <w:b w:val="0"/>
      </w:rPr>
    </w:lvl>
    <w:lvl w:ilvl="2">
      <w:start w:val="1"/>
      <w:numFmt w:val="lowerLetter"/>
      <w:lvlRestart w:val="0"/>
      <w:pStyle w:val="Heading4"/>
      <w:lvlText w:val="%3."/>
      <w:lvlJc w:val="left"/>
      <w:pPr>
        <w:tabs>
          <w:tab w:val="num" w:pos="1800"/>
        </w:tabs>
        <w:ind w:left="1800" w:hanging="360"/>
      </w:pPr>
      <w:rPr>
        <w:rFonts w:ascii="Arial" w:hAnsi="Arial" w:cs="Arial" w:hint="default"/>
        <w:b w:val="0"/>
        <w:i w:val="0"/>
        <w:sz w:val="22"/>
        <w:szCs w:val="22"/>
      </w:rPr>
    </w:lvl>
    <w:lvl w:ilvl="3">
      <w:start w:val="1"/>
      <w:numFmt w:val="lowerRoman"/>
      <w:lvlRestart w:val="0"/>
      <w:pStyle w:val="Heading5"/>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nsid w:val="4DD235ED"/>
    <w:multiLevelType w:val="multilevel"/>
    <w:tmpl w:val="03FC4B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0C723A2"/>
    <w:multiLevelType w:val="hybridMultilevel"/>
    <w:tmpl w:val="F1784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0947CC"/>
    <w:multiLevelType w:val="hybridMultilevel"/>
    <w:tmpl w:val="F1CE0098"/>
    <w:lvl w:ilvl="0" w:tplc="831A19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9923C8"/>
    <w:multiLevelType w:val="multilevel"/>
    <w:tmpl w:val="FFF87884"/>
    <w:lvl w:ilvl="0">
      <w:start w:val="1"/>
      <w:numFmt w:val="upperRoman"/>
      <w:lvlText w:val="%1."/>
      <w:lvlJc w:val="center"/>
      <w:pPr>
        <w:tabs>
          <w:tab w:val="num" w:pos="360"/>
        </w:tabs>
        <w:ind w:left="28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rPr>
    </w:lvl>
    <w:lvl w:ilvl="2">
      <w:start w:val="1"/>
      <w:numFmt w:val="lowerLetter"/>
      <w:lvlRestart w:val="0"/>
      <w:lvlText w:val="%3."/>
      <w:lvlJc w:val="left"/>
      <w:pPr>
        <w:tabs>
          <w:tab w:val="num" w:pos="1800"/>
        </w:tabs>
        <w:ind w:left="1800" w:hanging="360"/>
      </w:pPr>
      <w:rPr>
        <w:rFonts w:ascii="Times New Roman Bold" w:hAnsi="Times New Roman Bold" w:hint="default"/>
        <w:b w:val="0"/>
        <w:i w:val="0"/>
        <w:sz w:val="24"/>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2">
    <w:nsid w:val="612811FC"/>
    <w:multiLevelType w:val="hybridMultilevel"/>
    <w:tmpl w:val="58D09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3E482C"/>
    <w:multiLevelType w:val="hybridMultilevel"/>
    <w:tmpl w:val="547C98E2"/>
    <w:lvl w:ilvl="0" w:tplc="7570DA6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17D21BA"/>
    <w:multiLevelType w:val="hybridMultilevel"/>
    <w:tmpl w:val="1E622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906928"/>
    <w:multiLevelType w:val="hybridMultilevel"/>
    <w:tmpl w:val="C568CBE4"/>
    <w:lvl w:ilvl="0" w:tplc="3E98B4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A5E3549"/>
    <w:multiLevelType w:val="hybridMultilevel"/>
    <w:tmpl w:val="C810B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620B6"/>
    <w:multiLevelType w:val="hybridMultilevel"/>
    <w:tmpl w:val="EA126174"/>
    <w:lvl w:ilvl="0" w:tplc="54B88ED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6"/>
  </w:num>
  <w:num w:numId="3">
    <w:abstractNumId w:val="12"/>
  </w:num>
  <w:num w:numId="4">
    <w:abstractNumId w:val="2"/>
  </w:num>
  <w:num w:numId="5">
    <w:abstractNumId w:val="7"/>
  </w:num>
  <w:num w:numId="6">
    <w:abstractNumId w:val="1"/>
  </w:num>
  <w:num w:numId="7">
    <w:abstractNumId w:val="4"/>
  </w:num>
  <w:num w:numId="8">
    <w:abstractNumId w:val="9"/>
  </w:num>
  <w:num w:numId="9">
    <w:abstractNumId w:val="0"/>
  </w:num>
  <w:num w:numId="10">
    <w:abstractNumId w:val="17"/>
  </w:num>
  <w:num w:numId="11">
    <w:abstractNumId w:val="3"/>
  </w:num>
  <w:num w:numId="12">
    <w:abstractNumId w:val="15"/>
  </w:num>
  <w:num w:numId="13">
    <w:abstractNumId w:val="13"/>
  </w:num>
  <w:num w:numId="14">
    <w:abstractNumId w:val="11"/>
  </w:num>
  <w:num w:numId="15">
    <w:abstractNumId w:val="7"/>
  </w:num>
  <w:num w:numId="16">
    <w:abstractNumId w:val="7"/>
  </w:num>
  <w:num w:numId="17">
    <w:abstractNumId w:val="7"/>
  </w:num>
  <w:num w:numId="18">
    <w:abstractNumId w:val="7"/>
  </w:num>
  <w:num w:numId="19">
    <w:abstractNumId w:val="5"/>
  </w:num>
  <w:num w:numId="20">
    <w:abstractNumId w:val="6"/>
  </w:num>
  <w:num w:numId="21">
    <w:abstractNumId w:val="8"/>
  </w:num>
  <w:num w:numId="22">
    <w:abstractNumId w:val="7"/>
  </w:num>
  <w:num w:numId="23">
    <w:abstractNumId w:val="14"/>
  </w:num>
  <w:num w:numId="24">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astian Vargas Macedo">
    <w15:presenceInfo w15:providerId="Windows Live" w15:userId="6f873350373b3b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activeWritingStyle w:appName="MSWord" w:lang="en-US" w:vendorID="64" w:dllVersion="131078" w:nlCheck="1" w:checkStyle="0"/>
  <w:activeWritingStyle w:appName="MSWord" w:lang="es-ES_tradnl"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40"/>
    <w:rsid w:val="0000260C"/>
    <w:rsid w:val="000119FD"/>
    <w:rsid w:val="00012E2D"/>
    <w:rsid w:val="00013533"/>
    <w:rsid w:val="000224DE"/>
    <w:rsid w:val="00031BF0"/>
    <w:rsid w:val="00034514"/>
    <w:rsid w:val="00044274"/>
    <w:rsid w:val="00053C66"/>
    <w:rsid w:val="00056F60"/>
    <w:rsid w:val="00062F49"/>
    <w:rsid w:val="0006715B"/>
    <w:rsid w:val="000848FE"/>
    <w:rsid w:val="000C253A"/>
    <w:rsid w:val="001022DA"/>
    <w:rsid w:val="0010439B"/>
    <w:rsid w:val="0011197A"/>
    <w:rsid w:val="00120920"/>
    <w:rsid w:val="00130A82"/>
    <w:rsid w:val="00140CFC"/>
    <w:rsid w:val="00151F87"/>
    <w:rsid w:val="001652AE"/>
    <w:rsid w:val="001B4B7E"/>
    <w:rsid w:val="001E10D5"/>
    <w:rsid w:val="001E4579"/>
    <w:rsid w:val="00206C93"/>
    <w:rsid w:val="002101C9"/>
    <w:rsid w:val="002276F5"/>
    <w:rsid w:val="00243F8A"/>
    <w:rsid w:val="00272359"/>
    <w:rsid w:val="00272709"/>
    <w:rsid w:val="00275771"/>
    <w:rsid w:val="00284C15"/>
    <w:rsid w:val="00290E07"/>
    <w:rsid w:val="002C118A"/>
    <w:rsid w:val="002C1C49"/>
    <w:rsid w:val="002C44B0"/>
    <w:rsid w:val="002F0B65"/>
    <w:rsid w:val="00321F04"/>
    <w:rsid w:val="003465C8"/>
    <w:rsid w:val="00355753"/>
    <w:rsid w:val="0036083D"/>
    <w:rsid w:val="0037093F"/>
    <w:rsid w:val="00387E0E"/>
    <w:rsid w:val="0039145F"/>
    <w:rsid w:val="003C685B"/>
    <w:rsid w:val="003F23C4"/>
    <w:rsid w:val="0040578F"/>
    <w:rsid w:val="00440C1E"/>
    <w:rsid w:val="00452F70"/>
    <w:rsid w:val="00455046"/>
    <w:rsid w:val="004611B8"/>
    <w:rsid w:val="004662D2"/>
    <w:rsid w:val="00473B90"/>
    <w:rsid w:val="004A528A"/>
    <w:rsid w:val="004A7606"/>
    <w:rsid w:val="004D47B0"/>
    <w:rsid w:val="004E1643"/>
    <w:rsid w:val="00501E14"/>
    <w:rsid w:val="0050254E"/>
    <w:rsid w:val="00502E59"/>
    <w:rsid w:val="00504E94"/>
    <w:rsid w:val="005071EF"/>
    <w:rsid w:val="0051448B"/>
    <w:rsid w:val="00560BCD"/>
    <w:rsid w:val="00567DF6"/>
    <w:rsid w:val="00570F20"/>
    <w:rsid w:val="00574C47"/>
    <w:rsid w:val="005764B8"/>
    <w:rsid w:val="0059034C"/>
    <w:rsid w:val="0059319C"/>
    <w:rsid w:val="005B1249"/>
    <w:rsid w:val="005B1B3E"/>
    <w:rsid w:val="005B4107"/>
    <w:rsid w:val="005D0F02"/>
    <w:rsid w:val="005E039E"/>
    <w:rsid w:val="005F6E6D"/>
    <w:rsid w:val="00603607"/>
    <w:rsid w:val="00605F24"/>
    <w:rsid w:val="00640A8E"/>
    <w:rsid w:val="00651B2C"/>
    <w:rsid w:val="006672C2"/>
    <w:rsid w:val="00667ECA"/>
    <w:rsid w:val="00690F40"/>
    <w:rsid w:val="006A40B8"/>
    <w:rsid w:val="006B574E"/>
    <w:rsid w:val="006C047B"/>
    <w:rsid w:val="006E579F"/>
    <w:rsid w:val="006E6446"/>
    <w:rsid w:val="00703CE2"/>
    <w:rsid w:val="0071358F"/>
    <w:rsid w:val="00722F74"/>
    <w:rsid w:val="0072597F"/>
    <w:rsid w:val="00736E8D"/>
    <w:rsid w:val="00784086"/>
    <w:rsid w:val="00785437"/>
    <w:rsid w:val="0079058D"/>
    <w:rsid w:val="00794CB6"/>
    <w:rsid w:val="007B2597"/>
    <w:rsid w:val="007C1E4B"/>
    <w:rsid w:val="007C32EE"/>
    <w:rsid w:val="007C3B95"/>
    <w:rsid w:val="007C3D57"/>
    <w:rsid w:val="007F653C"/>
    <w:rsid w:val="00815DE1"/>
    <w:rsid w:val="008243B6"/>
    <w:rsid w:val="00831EDF"/>
    <w:rsid w:val="008520C7"/>
    <w:rsid w:val="008605CA"/>
    <w:rsid w:val="00882A7D"/>
    <w:rsid w:val="008D509E"/>
    <w:rsid w:val="008F49D3"/>
    <w:rsid w:val="008F76C8"/>
    <w:rsid w:val="009439C1"/>
    <w:rsid w:val="00985F3C"/>
    <w:rsid w:val="009A5253"/>
    <w:rsid w:val="009A6E97"/>
    <w:rsid w:val="009C3804"/>
    <w:rsid w:val="009D1B1D"/>
    <w:rsid w:val="009D7232"/>
    <w:rsid w:val="009F0EF8"/>
    <w:rsid w:val="009F1279"/>
    <w:rsid w:val="00A01177"/>
    <w:rsid w:val="00A13F55"/>
    <w:rsid w:val="00A17119"/>
    <w:rsid w:val="00A20AF3"/>
    <w:rsid w:val="00A25BD9"/>
    <w:rsid w:val="00A378C3"/>
    <w:rsid w:val="00A4010B"/>
    <w:rsid w:val="00A40527"/>
    <w:rsid w:val="00A429BA"/>
    <w:rsid w:val="00A44BCC"/>
    <w:rsid w:val="00A5713E"/>
    <w:rsid w:val="00A63C4E"/>
    <w:rsid w:val="00A934FE"/>
    <w:rsid w:val="00A977D1"/>
    <w:rsid w:val="00AD03CE"/>
    <w:rsid w:val="00AD559A"/>
    <w:rsid w:val="00AD59C8"/>
    <w:rsid w:val="00AD6E6B"/>
    <w:rsid w:val="00AE3634"/>
    <w:rsid w:val="00AE46EE"/>
    <w:rsid w:val="00AE6FF4"/>
    <w:rsid w:val="00AF28D5"/>
    <w:rsid w:val="00B21B3D"/>
    <w:rsid w:val="00B54C05"/>
    <w:rsid w:val="00B742DC"/>
    <w:rsid w:val="00B90681"/>
    <w:rsid w:val="00BD15D1"/>
    <w:rsid w:val="00C14D69"/>
    <w:rsid w:val="00C31215"/>
    <w:rsid w:val="00C3797C"/>
    <w:rsid w:val="00C642BE"/>
    <w:rsid w:val="00C6513E"/>
    <w:rsid w:val="00C66E4D"/>
    <w:rsid w:val="00C75CFA"/>
    <w:rsid w:val="00C8412F"/>
    <w:rsid w:val="00CB6508"/>
    <w:rsid w:val="00CC42CC"/>
    <w:rsid w:val="00CC6060"/>
    <w:rsid w:val="00CD2C15"/>
    <w:rsid w:val="00D154D5"/>
    <w:rsid w:val="00D17F0C"/>
    <w:rsid w:val="00D3112A"/>
    <w:rsid w:val="00D40A77"/>
    <w:rsid w:val="00D4190B"/>
    <w:rsid w:val="00D620B2"/>
    <w:rsid w:val="00D71DBE"/>
    <w:rsid w:val="00D95462"/>
    <w:rsid w:val="00D9778A"/>
    <w:rsid w:val="00DB1DAF"/>
    <w:rsid w:val="00DB67F2"/>
    <w:rsid w:val="00DC0BC1"/>
    <w:rsid w:val="00DC426F"/>
    <w:rsid w:val="00DE3C65"/>
    <w:rsid w:val="00E06600"/>
    <w:rsid w:val="00E0669D"/>
    <w:rsid w:val="00E1393B"/>
    <w:rsid w:val="00E13DAA"/>
    <w:rsid w:val="00E25EDF"/>
    <w:rsid w:val="00E36FBD"/>
    <w:rsid w:val="00E3727F"/>
    <w:rsid w:val="00E43EC6"/>
    <w:rsid w:val="00E456E0"/>
    <w:rsid w:val="00E4674B"/>
    <w:rsid w:val="00E75A70"/>
    <w:rsid w:val="00E77410"/>
    <w:rsid w:val="00E95940"/>
    <w:rsid w:val="00EA55AE"/>
    <w:rsid w:val="00EB1A5D"/>
    <w:rsid w:val="00ED6628"/>
    <w:rsid w:val="00EE0911"/>
    <w:rsid w:val="00EF0A9A"/>
    <w:rsid w:val="00F04036"/>
    <w:rsid w:val="00F043A6"/>
    <w:rsid w:val="00F32067"/>
    <w:rsid w:val="00F34029"/>
    <w:rsid w:val="00F4040B"/>
    <w:rsid w:val="00F46CC1"/>
    <w:rsid w:val="00F71B54"/>
    <w:rsid w:val="00FA4FDF"/>
    <w:rsid w:val="00FB54BF"/>
    <w:rsid w:val="00FC1DB6"/>
    <w:rsid w:val="00FD0F6C"/>
    <w:rsid w:val="00FD58EA"/>
    <w:rsid w:val="00FD6DF0"/>
    <w:rsid w:val="00FF2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C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940"/>
    <w:pPr>
      <w:spacing w:after="0" w:line="240" w:lineRule="auto"/>
    </w:pPr>
    <w:rPr>
      <w:rFonts w:ascii="Times New Roman" w:eastAsia="Times New Roman" w:hAnsi="Times New Roman" w:cs="Times New Roman"/>
      <w:sz w:val="24"/>
      <w:szCs w:val="20"/>
    </w:rPr>
  </w:style>
  <w:style w:type="paragraph" w:styleId="Heading1">
    <w:name w:val="heading 1"/>
    <w:aliases w:val="Heading 1.I"/>
    <w:basedOn w:val="Normal"/>
    <w:next w:val="Normal"/>
    <w:link w:val="Heading1Char"/>
    <w:qFormat/>
    <w:rsid w:val="00C14D69"/>
    <w:pPr>
      <w:keepNext/>
      <w:keepLines/>
      <w:numPr>
        <w:numId w:val="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aliases w:val="Heading 4.a"/>
    <w:basedOn w:val="Normal"/>
    <w:next w:val="Normal"/>
    <w:link w:val="Heading4Char"/>
    <w:unhideWhenUsed/>
    <w:qFormat/>
    <w:rsid w:val="00C14D69"/>
    <w:pPr>
      <w:keepNext/>
      <w:keepLines/>
      <w:numPr>
        <w:ilvl w:val="2"/>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eading 5.(i)"/>
    <w:basedOn w:val="Normal"/>
    <w:next w:val="Normal"/>
    <w:link w:val="Heading5Char"/>
    <w:unhideWhenUsed/>
    <w:qFormat/>
    <w:rsid w:val="00C14D69"/>
    <w:pPr>
      <w:keepNext/>
      <w:keepLines/>
      <w:numPr>
        <w:ilvl w:val="3"/>
        <w:numId w:val="5"/>
      </w:numPr>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5940"/>
    <w:pPr>
      <w:ind w:left="720"/>
      <w:contextualSpacing/>
    </w:pPr>
  </w:style>
  <w:style w:type="character" w:customStyle="1" w:styleId="Heading1Char">
    <w:name w:val="Heading 1 Char"/>
    <w:aliases w:val="Heading 1.I Char"/>
    <w:basedOn w:val="DefaultParagraphFont"/>
    <w:link w:val="Heading1"/>
    <w:uiPriority w:val="9"/>
    <w:rsid w:val="00C14D69"/>
    <w:rPr>
      <w:rFonts w:asciiTheme="majorHAnsi" w:eastAsiaTheme="majorEastAsia" w:hAnsiTheme="majorHAnsi" w:cstheme="majorBidi"/>
      <w:b/>
      <w:bCs/>
      <w:color w:val="365F91" w:themeColor="accent1" w:themeShade="BF"/>
      <w:sz w:val="28"/>
      <w:szCs w:val="28"/>
    </w:rPr>
  </w:style>
  <w:style w:type="paragraph" w:customStyle="1" w:styleId="AutoNumpara">
    <w:name w:val="AutoNumpara"/>
    <w:basedOn w:val="Normal"/>
    <w:uiPriority w:val="99"/>
    <w:rsid w:val="00C14D69"/>
    <w:pPr>
      <w:numPr>
        <w:ilvl w:val="1"/>
        <w:numId w:val="5"/>
      </w:numPr>
    </w:pPr>
  </w:style>
  <w:style w:type="character" w:customStyle="1" w:styleId="Heading4Char">
    <w:name w:val="Heading 4 Char"/>
    <w:aliases w:val="Heading 4.a Char"/>
    <w:basedOn w:val="DefaultParagraphFont"/>
    <w:link w:val="Heading4"/>
    <w:uiPriority w:val="9"/>
    <w:rsid w:val="00C14D69"/>
    <w:rPr>
      <w:rFonts w:asciiTheme="majorHAnsi" w:eastAsiaTheme="majorEastAsia" w:hAnsiTheme="majorHAnsi" w:cstheme="majorBidi"/>
      <w:b/>
      <w:bCs/>
      <w:i/>
      <w:iCs/>
      <w:color w:val="4F81BD" w:themeColor="accent1"/>
      <w:sz w:val="24"/>
      <w:szCs w:val="20"/>
    </w:rPr>
  </w:style>
  <w:style w:type="character" w:customStyle="1" w:styleId="Heading5Char">
    <w:name w:val="Heading 5 Char"/>
    <w:aliases w:val="Heading 5.(i) Char"/>
    <w:basedOn w:val="DefaultParagraphFont"/>
    <w:link w:val="Heading5"/>
    <w:uiPriority w:val="9"/>
    <w:rsid w:val="00C14D69"/>
    <w:rPr>
      <w:rFonts w:asciiTheme="majorHAnsi" w:eastAsiaTheme="majorEastAsia" w:hAnsiTheme="majorHAnsi" w:cstheme="majorBidi"/>
      <w:color w:val="243F60" w:themeColor="accent1" w:themeShade="7F"/>
      <w:sz w:val="24"/>
      <w:szCs w:val="20"/>
    </w:rPr>
  </w:style>
  <w:style w:type="paragraph" w:styleId="FootnoteText">
    <w:name w:val="footnote text"/>
    <w:aliases w:val="fn,Texto nota pie IIRSA,ft,foottextfra,footnote,F,Footnote Text Char Char Char Char Char Char,Footnote Text Char Char Char Char1,Footnote Text Char Char Char Char Char1,Footnote Text Char Char Char Char Char,Footnote Text Char Char Char,f"/>
    <w:basedOn w:val="Normal"/>
    <w:link w:val="FootnoteTextChar"/>
    <w:uiPriority w:val="99"/>
    <w:unhideWhenUsed/>
    <w:qFormat/>
    <w:rsid w:val="00F46CC1"/>
    <w:rPr>
      <w:sz w:val="20"/>
    </w:rPr>
  </w:style>
  <w:style w:type="character" w:customStyle="1" w:styleId="FootnoteTextChar">
    <w:name w:val="Footnote Text Char"/>
    <w:aliases w:val="fn Char,Texto nota pie IIRSA Char,ft Char,foottextfra Char,footnote Char,F Char,Footnote Text Char Char Char Char Char Char Char,Footnote Text Char Char Char Char1 Char,Footnote Text Char Char Char Char Char1 Char,f Char"/>
    <w:basedOn w:val="DefaultParagraphFont"/>
    <w:link w:val="FootnoteText"/>
    <w:uiPriority w:val="99"/>
    <w:rsid w:val="00F46CC1"/>
    <w:rPr>
      <w:rFonts w:ascii="Times New Roman" w:eastAsia="Times New Roman" w:hAnsi="Times New Roman" w:cs="Times New Roman"/>
      <w:sz w:val="20"/>
      <w:szCs w:val="20"/>
    </w:rPr>
  </w:style>
  <w:style w:type="character" w:styleId="FootnoteReference">
    <w:name w:val="footnote reference"/>
    <w:aliases w:val="ftref,titulo 2,FC,referencia nota al pie,Fußnotenzeichen DISS,Footnote Reference Number,Footnote Reference_LVL6,Footnote Reference_LVL61,Footnote Reference_LVL62,Footnote Reference_LVL63,Footnote Reference_LVL64,16 Point"/>
    <w:basedOn w:val="DefaultParagraphFont"/>
    <w:uiPriority w:val="99"/>
    <w:rsid w:val="00F46CC1"/>
    <w:rPr>
      <w:rFonts w:ascii="Times New Roman" w:hAnsi="Times New Roman" w:cs="Times New Roman"/>
      <w:sz w:val="20"/>
      <w:vertAlign w:val="superscript"/>
    </w:rPr>
  </w:style>
  <w:style w:type="paragraph" w:styleId="Header">
    <w:name w:val="header"/>
    <w:basedOn w:val="Normal"/>
    <w:link w:val="HeaderChar"/>
    <w:uiPriority w:val="99"/>
    <w:unhideWhenUsed/>
    <w:rsid w:val="00DB67F2"/>
    <w:pPr>
      <w:tabs>
        <w:tab w:val="center" w:pos="4680"/>
        <w:tab w:val="right" w:pos="9360"/>
      </w:tabs>
    </w:pPr>
  </w:style>
  <w:style w:type="character" w:customStyle="1" w:styleId="HeaderChar">
    <w:name w:val="Header Char"/>
    <w:basedOn w:val="DefaultParagraphFont"/>
    <w:link w:val="Header"/>
    <w:uiPriority w:val="99"/>
    <w:rsid w:val="00DB67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B67F2"/>
    <w:pPr>
      <w:tabs>
        <w:tab w:val="center" w:pos="4680"/>
        <w:tab w:val="right" w:pos="9360"/>
      </w:tabs>
    </w:pPr>
  </w:style>
  <w:style w:type="character" w:customStyle="1" w:styleId="FooterChar">
    <w:name w:val="Footer Char"/>
    <w:basedOn w:val="DefaultParagraphFont"/>
    <w:link w:val="Footer"/>
    <w:uiPriority w:val="99"/>
    <w:rsid w:val="00DB67F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75A70"/>
    <w:rPr>
      <w:sz w:val="16"/>
      <w:szCs w:val="16"/>
    </w:rPr>
  </w:style>
  <w:style w:type="paragraph" w:styleId="CommentText">
    <w:name w:val="annotation text"/>
    <w:basedOn w:val="Normal"/>
    <w:link w:val="CommentTextChar"/>
    <w:uiPriority w:val="99"/>
    <w:semiHidden/>
    <w:unhideWhenUsed/>
    <w:rsid w:val="00E75A70"/>
    <w:rPr>
      <w:sz w:val="20"/>
    </w:rPr>
  </w:style>
  <w:style w:type="character" w:customStyle="1" w:styleId="CommentTextChar">
    <w:name w:val="Comment Text Char"/>
    <w:basedOn w:val="DefaultParagraphFont"/>
    <w:link w:val="CommentText"/>
    <w:uiPriority w:val="99"/>
    <w:semiHidden/>
    <w:rsid w:val="00E75A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5A70"/>
    <w:rPr>
      <w:b/>
      <w:bCs/>
    </w:rPr>
  </w:style>
  <w:style w:type="character" w:customStyle="1" w:styleId="CommentSubjectChar">
    <w:name w:val="Comment Subject Char"/>
    <w:basedOn w:val="CommentTextChar"/>
    <w:link w:val="CommentSubject"/>
    <w:uiPriority w:val="99"/>
    <w:semiHidden/>
    <w:rsid w:val="00E75A7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5A70"/>
    <w:rPr>
      <w:rFonts w:ascii="Tahoma" w:hAnsi="Tahoma" w:cs="Tahoma"/>
      <w:sz w:val="16"/>
      <w:szCs w:val="16"/>
    </w:rPr>
  </w:style>
  <w:style w:type="character" w:customStyle="1" w:styleId="BalloonTextChar">
    <w:name w:val="Balloon Text Char"/>
    <w:basedOn w:val="DefaultParagraphFont"/>
    <w:link w:val="BalloonText"/>
    <w:uiPriority w:val="99"/>
    <w:semiHidden/>
    <w:rsid w:val="00E75A70"/>
    <w:rPr>
      <w:rFonts w:ascii="Tahoma" w:eastAsia="Times New Roman" w:hAnsi="Tahoma" w:cs="Tahoma"/>
      <w:sz w:val="16"/>
      <w:szCs w:val="16"/>
    </w:rPr>
  </w:style>
  <w:style w:type="table" w:customStyle="1" w:styleId="TableGrid1">
    <w:name w:val="Table Grid1"/>
    <w:basedOn w:val="TableNormal"/>
    <w:next w:val="TableGrid"/>
    <w:uiPriority w:val="59"/>
    <w:rsid w:val="00A63C4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63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243F8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940"/>
    <w:pPr>
      <w:spacing w:after="0" w:line="240" w:lineRule="auto"/>
    </w:pPr>
    <w:rPr>
      <w:rFonts w:ascii="Times New Roman" w:eastAsia="Times New Roman" w:hAnsi="Times New Roman" w:cs="Times New Roman"/>
      <w:sz w:val="24"/>
      <w:szCs w:val="20"/>
    </w:rPr>
  </w:style>
  <w:style w:type="paragraph" w:styleId="Heading1">
    <w:name w:val="heading 1"/>
    <w:aliases w:val="Heading 1.I"/>
    <w:basedOn w:val="Normal"/>
    <w:next w:val="Normal"/>
    <w:link w:val="Heading1Char"/>
    <w:qFormat/>
    <w:rsid w:val="00C14D69"/>
    <w:pPr>
      <w:keepNext/>
      <w:keepLines/>
      <w:numPr>
        <w:numId w:val="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aliases w:val="Heading 4.a"/>
    <w:basedOn w:val="Normal"/>
    <w:next w:val="Normal"/>
    <w:link w:val="Heading4Char"/>
    <w:unhideWhenUsed/>
    <w:qFormat/>
    <w:rsid w:val="00C14D69"/>
    <w:pPr>
      <w:keepNext/>
      <w:keepLines/>
      <w:numPr>
        <w:ilvl w:val="2"/>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eading 5.(i)"/>
    <w:basedOn w:val="Normal"/>
    <w:next w:val="Normal"/>
    <w:link w:val="Heading5Char"/>
    <w:unhideWhenUsed/>
    <w:qFormat/>
    <w:rsid w:val="00C14D69"/>
    <w:pPr>
      <w:keepNext/>
      <w:keepLines/>
      <w:numPr>
        <w:ilvl w:val="3"/>
        <w:numId w:val="5"/>
      </w:numPr>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5940"/>
    <w:pPr>
      <w:ind w:left="720"/>
      <w:contextualSpacing/>
    </w:pPr>
  </w:style>
  <w:style w:type="character" w:customStyle="1" w:styleId="Heading1Char">
    <w:name w:val="Heading 1 Char"/>
    <w:aliases w:val="Heading 1.I Char"/>
    <w:basedOn w:val="DefaultParagraphFont"/>
    <w:link w:val="Heading1"/>
    <w:uiPriority w:val="9"/>
    <w:rsid w:val="00C14D69"/>
    <w:rPr>
      <w:rFonts w:asciiTheme="majorHAnsi" w:eastAsiaTheme="majorEastAsia" w:hAnsiTheme="majorHAnsi" w:cstheme="majorBidi"/>
      <w:b/>
      <w:bCs/>
      <w:color w:val="365F91" w:themeColor="accent1" w:themeShade="BF"/>
      <w:sz w:val="28"/>
      <w:szCs w:val="28"/>
    </w:rPr>
  </w:style>
  <w:style w:type="paragraph" w:customStyle="1" w:styleId="AutoNumpara">
    <w:name w:val="AutoNumpara"/>
    <w:basedOn w:val="Normal"/>
    <w:uiPriority w:val="99"/>
    <w:rsid w:val="00C14D69"/>
    <w:pPr>
      <w:numPr>
        <w:ilvl w:val="1"/>
        <w:numId w:val="5"/>
      </w:numPr>
    </w:pPr>
  </w:style>
  <w:style w:type="character" w:customStyle="1" w:styleId="Heading4Char">
    <w:name w:val="Heading 4 Char"/>
    <w:aliases w:val="Heading 4.a Char"/>
    <w:basedOn w:val="DefaultParagraphFont"/>
    <w:link w:val="Heading4"/>
    <w:uiPriority w:val="9"/>
    <w:rsid w:val="00C14D69"/>
    <w:rPr>
      <w:rFonts w:asciiTheme="majorHAnsi" w:eastAsiaTheme="majorEastAsia" w:hAnsiTheme="majorHAnsi" w:cstheme="majorBidi"/>
      <w:b/>
      <w:bCs/>
      <w:i/>
      <w:iCs/>
      <w:color w:val="4F81BD" w:themeColor="accent1"/>
      <w:sz w:val="24"/>
      <w:szCs w:val="20"/>
    </w:rPr>
  </w:style>
  <w:style w:type="character" w:customStyle="1" w:styleId="Heading5Char">
    <w:name w:val="Heading 5 Char"/>
    <w:aliases w:val="Heading 5.(i) Char"/>
    <w:basedOn w:val="DefaultParagraphFont"/>
    <w:link w:val="Heading5"/>
    <w:uiPriority w:val="9"/>
    <w:rsid w:val="00C14D69"/>
    <w:rPr>
      <w:rFonts w:asciiTheme="majorHAnsi" w:eastAsiaTheme="majorEastAsia" w:hAnsiTheme="majorHAnsi" w:cstheme="majorBidi"/>
      <w:color w:val="243F60" w:themeColor="accent1" w:themeShade="7F"/>
      <w:sz w:val="24"/>
      <w:szCs w:val="20"/>
    </w:rPr>
  </w:style>
  <w:style w:type="paragraph" w:styleId="FootnoteText">
    <w:name w:val="footnote text"/>
    <w:aliases w:val="fn,Texto nota pie IIRSA,ft,foottextfra,footnote,F,Footnote Text Char Char Char Char Char Char,Footnote Text Char Char Char Char1,Footnote Text Char Char Char Char Char1,Footnote Text Char Char Char Char Char,Footnote Text Char Char Char,f"/>
    <w:basedOn w:val="Normal"/>
    <w:link w:val="FootnoteTextChar"/>
    <w:uiPriority w:val="99"/>
    <w:unhideWhenUsed/>
    <w:qFormat/>
    <w:rsid w:val="00F46CC1"/>
    <w:rPr>
      <w:sz w:val="20"/>
    </w:rPr>
  </w:style>
  <w:style w:type="character" w:customStyle="1" w:styleId="FootnoteTextChar">
    <w:name w:val="Footnote Text Char"/>
    <w:aliases w:val="fn Char,Texto nota pie IIRSA Char,ft Char,foottextfra Char,footnote Char,F Char,Footnote Text Char Char Char Char Char Char Char,Footnote Text Char Char Char Char1 Char,Footnote Text Char Char Char Char Char1 Char,f Char"/>
    <w:basedOn w:val="DefaultParagraphFont"/>
    <w:link w:val="FootnoteText"/>
    <w:uiPriority w:val="99"/>
    <w:rsid w:val="00F46CC1"/>
    <w:rPr>
      <w:rFonts w:ascii="Times New Roman" w:eastAsia="Times New Roman" w:hAnsi="Times New Roman" w:cs="Times New Roman"/>
      <w:sz w:val="20"/>
      <w:szCs w:val="20"/>
    </w:rPr>
  </w:style>
  <w:style w:type="character" w:styleId="FootnoteReference">
    <w:name w:val="footnote reference"/>
    <w:aliases w:val="ftref,titulo 2,FC,referencia nota al pie,Fußnotenzeichen DISS,Footnote Reference Number,Footnote Reference_LVL6,Footnote Reference_LVL61,Footnote Reference_LVL62,Footnote Reference_LVL63,Footnote Reference_LVL64,16 Point"/>
    <w:basedOn w:val="DefaultParagraphFont"/>
    <w:uiPriority w:val="99"/>
    <w:rsid w:val="00F46CC1"/>
    <w:rPr>
      <w:rFonts w:ascii="Times New Roman" w:hAnsi="Times New Roman" w:cs="Times New Roman"/>
      <w:sz w:val="20"/>
      <w:vertAlign w:val="superscript"/>
    </w:rPr>
  </w:style>
  <w:style w:type="paragraph" w:styleId="Header">
    <w:name w:val="header"/>
    <w:basedOn w:val="Normal"/>
    <w:link w:val="HeaderChar"/>
    <w:uiPriority w:val="99"/>
    <w:unhideWhenUsed/>
    <w:rsid w:val="00DB67F2"/>
    <w:pPr>
      <w:tabs>
        <w:tab w:val="center" w:pos="4680"/>
        <w:tab w:val="right" w:pos="9360"/>
      </w:tabs>
    </w:pPr>
  </w:style>
  <w:style w:type="character" w:customStyle="1" w:styleId="HeaderChar">
    <w:name w:val="Header Char"/>
    <w:basedOn w:val="DefaultParagraphFont"/>
    <w:link w:val="Header"/>
    <w:uiPriority w:val="99"/>
    <w:rsid w:val="00DB67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B67F2"/>
    <w:pPr>
      <w:tabs>
        <w:tab w:val="center" w:pos="4680"/>
        <w:tab w:val="right" w:pos="9360"/>
      </w:tabs>
    </w:pPr>
  </w:style>
  <w:style w:type="character" w:customStyle="1" w:styleId="FooterChar">
    <w:name w:val="Footer Char"/>
    <w:basedOn w:val="DefaultParagraphFont"/>
    <w:link w:val="Footer"/>
    <w:uiPriority w:val="99"/>
    <w:rsid w:val="00DB67F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75A70"/>
    <w:rPr>
      <w:sz w:val="16"/>
      <w:szCs w:val="16"/>
    </w:rPr>
  </w:style>
  <w:style w:type="paragraph" w:styleId="CommentText">
    <w:name w:val="annotation text"/>
    <w:basedOn w:val="Normal"/>
    <w:link w:val="CommentTextChar"/>
    <w:uiPriority w:val="99"/>
    <w:semiHidden/>
    <w:unhideWhenUsed/>
    <w:rsid w:val="00E75A70"/>
    <w:rPr>
      <w:sz w:val="20"/>
    </w:rPr>
  </w:style>
  <w:style w:type="character" w:customStyle="1" w:styleId="CommentTextChar">
    <w:name w:val="Comment Text Char"/>
    <w:basedOn w:val="DefaultParagraphFont"/>
    <w:link w:val="CommentText"/>
    <w:uiPriority w:val="99"/>
    <w:semiHidden/>
    <w:rsid w:val="00E75A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5A70"/>
    <w:rPr>
      <w:b/>
      <w:bCs/>
    </w:rPr>
  </w:style>
  <w:style w:type="character" w:customStyle="1" w:styleId="CommentSubjectChar">
    <w:name w:val="Comment Subject Char"/>
    <w:basedOn w:val="CommentTextChar"/>
    <w:link w:val="CommentSubject"/>
    <w:uiPriority w:val="99"/>
    <w:semiHidden/>
    <w:rsid w:val="00E75A7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5A70"/>
    <w:rPr>
      <w:rFonts w:ascii="Tahoma" w:hAnsi="Tahoma" w:cs="Tahoma"/>
      <w:sz w:val="16"/>
      <w:szCs w:val="16"/>
    </w:rPr>
  </w:style>
  <w:style w:type="character" w:customStyle="1" w:styleId="BalloonTextChar">
    <w:name w:val="Balloon Text Char"/>
    <w:basedOn w:val="DefaultParagraphFont"/>
    <w:link w:val="BalloonText"/>
    <w:uiPriority w:val="99"/>
    <w:semiHidden/>
    <w:rsid w:val="00E75A70"/>
    <w:rPr>
      <w:rFonts w:ascii="Tahoma" w:eastAsia="Times New Roman" w:hAnsi="Tahoma" w:cs="Tahoma"/>
      <w:sz w:val="16"/>
      <w:szCs w:val="16"/>
    </w:rPr>
  </w:style>
  <w:style w:type="table" w:customStyle="1" w:styleId="TableGrid1">
    <w:name w:val="Table Grid1"/>
    <w:basedOn w:val="TableNormal"/>
    <w:next w:val="TableGrid"/>
    <w:uiPriority w:val="59"/>
    <w:rsid w:val="00A63C4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63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243F8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EA53F-AFD6-4E42-9C36-B5E6D9AF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14</Pages>
  <Words>3845</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IADB</dc:creator>
  <cp:lastModifiedBy>IADB</cp:lastModifiedBy>
  <cp:revision>20</cp:revision>
  <dcterms:created xsi:type="dcterms:W3CDTF">2015-10-05T14:17:00Z</dcterms:created>
  <dcterms:modified xsi:type="dcterms:W3CDTF">2015-10-07T20:55:00Z</dcterms:modified>
</cp:coreProperties>
</file>