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A10" w:rsidRPr="006609FA" w:rsidRDefault="00F60DF1" w:rsidP="008A4A10">
      <w:pPr>
        <w:keepNext/>
        <w:tabs>
          <w:tab w:val="num" w:pos="648"/>
          <w:tab w:val="left" w:pos="3060"/>
        </w:tabs>
        <w:spacing w:before="240" w:after="0" w:line="240" w:lineRule="auto"/>
        <w:ind w:firstLine="288"/>
        <w:jc w:val="center"/>
        <w:rPr>
          <w:rFonts w:ascii="Arial" w:eastAsia="Times New Roman" w:hAnsi="Arial" w:cs="Arial"/>
          <w:smallCaps/>
        </w:rPr>
      </w:pPr>
      <w:r w:rsidRPr="006609FA">
        <w:rPr>
          <w:rFonts w:ascii="Arial" w:eastAsia="Times New Roman" w:hAnsi="Arial" w:cs="Arial"/>
          <w:smallCaps/>
        </w:rPr>
        <w:t>Document of the Inter-American Development Bank</w:t>
      </w:r>
    </w:p>
    <w:p w:rsidR="008A4A10" w:rsidRPr="006609FA" w:rsidRDefault="008A4A10" w:rsidP="008A4A10">
      <w:pPr>
        <w:keepNext/>
        <w:tabs>
          <w:tab w:val="num" w:pos="648"/>
          <w:tab w:val="left" w:pos="3060"/>
        </w:tabs>
        <w:spacing w:before="240" w:after="0" w:line="240" w:lineRule="auto"/>
        <w:ind w:firstLine="288"/>
        <w:jc w:val="center"/>
        <w:rPr>
          <w:rFonts w:ascii="Arial" w:eastAsia="Times New Roman" w:hAnsi="Arial" w:cs="Arial"/>
          <w:b/>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8A4A10" w:rsidRPr="006609FA" w:rsidRDefault="008A4A10" w:rsidP="008A4A10">
      <w:pPr>
        <w:tabs>
          <w:tab w:val="left" w:pos="1440"/>
          <w:tab w:val="left" w:pos="3060"/>
        </w:tabs>
        <w:spacing w:after="0" w:line="240" w:lineRule="auto"/>
        <w:jc w:val="center"/>
        <w:rPr>
          <w:rFonts w:ascii="Arial" w:eastAsia="Times New Roman" w:hAnsi="Arial" w:cs="Arial"/>
          <w:smallCaps/>
        </w:rPr>
      </w:pPr>
    </w:p>
    <w:p w:rsidR="0001267D" w:rsidRPr="006609FA" w:rsidRDefault="00890230" w:rsidP="00724C6F">
      <w:pPr>
        <w:tabs>
          <w:tab w:val="left" w:pos="1440"/>
          <w:tab w:val="left" w:pos="3060"/>
        </w:tabs>
        <w:jc w:val="center"/>
        <w:rPr>
          <w:rFonts w:ascii="Arial" w:hAnsi="Arial" w:cs="Arial"/>
          <w:b/>
          <w:smallCaps/>
        </w:rPr>
      </w:pPr>
      <w:r w:rsidRPr="006609FA">
        <w:rPr>
          <w:rFonts w:ascii="Arial" w:hAnsi="Arial" w:cs="Arial"/>
          <w:b/>
          <w:smallCaps/>
        </w:rPr>
        <w:t>Colombia</w:t>
      </w:r>
    </w:p>
    <w:p w:rsidR="0001267D" w:rsidRPr="006609FA" w:rsidRDefault="0001267D" w:rsidP="00724C6F">
      <w:pPr>
        <w:tabs>
          <w:tab w:val="left" w:pos="1440"/>
          <w:tab w:val="left" w:pos="3060"/>
        </w:tabs>
        <w:jc w:val="center"/>
        <w:rPr>
          <w:rFonts w:ascii="Arial" w:hAnsi="Arial" w:cs="Arial"/>
          <w:b/>
          <w:smallCaps/>
        </w:rPr>
      </w:pPr>
    </w:p>
    <w:p w:rsidR="0001267D" w:rsidRPr="006609FA" w:rsidRDefault="0001267D" w:rsidP="0001267D">
      <w:pPr>
        <w:spacing w:after="0" w:line="240" w:lineRule="auto"/>
        <w:jc w:val="center"/>
        <w:rPr>
          <w:rFonts w:ascii="Arial" w:eastAsia="Times New Roman" w:hAnsi="Arial" w:cs="Arial"/>
          <w:b/>
          <w:smallCaps/>
        </w:rPr>
      </w:pPr>
    </w:p>
    <w:p w:rsidR="0001267D" w:rsidRPr="006609FA" w:rsidRDefault="0001267D" w:rsidP="0001267D">
      <w:pPr>
        <w:spacing w:after="0" w:line="240" w:lineRule="auto"/>
        <w:jc w:val="center"/>
        <w:rPr>
          <w:rFonts w:ascii="Arial" w:eastAsia="Times New Roman" w:hAnsi="Arial" w:cs="Arial"/>
          <w:b/>
          <w:smallCaps/>
        </w:rPr>
      </w:pPr>
    </w:p>
    <w:p w:rsidR="00724C6F" w:rsidRPr="006609FA" w:rsidRDefault="006B6E02" w:rsidP="00724C6F">
      <w:pPr>
        <w:tabs>
          <w:tab w:val="left" w:pos="1440"/>
          <w:tab w:val="left" w:pos="3060"/>
        </w:tabs>
        <w:jc w:val="center"/>
        <w:rPr>
          <w:rFonts w:ascii="Arial" w:hAnsi="Arial" w:cs="Arial"/>
          <w:b/>
          <w:smallCaps/>
        </w:rPr>
      </w:pPr>
      <w:r w:rsidRPr="006609FA">
        <w:rPr>
          <w:rFonts w:ascii="Arial" w:hAnsi="Arial" w:cs="Arial"/>
          <w:b/>
          <w:smallCaps/>
        </w:rPr>
        <w:t>renewable energy financing program for the non-interconnected zones</w:t>
      </w:r>
    </w:p>
    <w:p w:rsidR="0001267D" w:rsidRPr="006609FA" w:rsidRDefault="0001267D" w:rsidP="0001267D">
      <w:pPr>
        <w:spacing w:after="0" w:line="240" w:lineRule="auto"/>
        <w:jc w:val="center"/>
        <w:rPr>
          <w:rFonts w:ascii="Arial" w:eastAsia="Times New Roman" w:hAnsi="Arial" w:cs="Arial"/>
          <w:b/>
          <w:smallCaps/>
        </w:rPr>
      </w:pPr>
    </w:p>
    <w:p w:rsidR="0001267D" w:rsidRPr="006609FA" w:rsidRDefault="0001267D" w:rsidP="0001267D">
      <w:pPr>
        <w:spacing w:after="0" w:line="240" w:lineRule="auto"/>
        <w:jc w:val="center"/>
        <w:rPr>
          <w:rFonts w:ascii="Arial" w:eastAsia="Times New Roman" w:hAnsi="Arial" w:cs="Arial"/>
          <w:b/>
          <w:smallCaps/>
        </w:rPr>
      </w:pPr>
    </w:p>
    <w:p w:rsidR="00BB52F3" w:rsidRPr="006609FA" w:rsidRDefault="00BB52F3" w:rsidP="0001267D">
      <w:pPr>
        <w:spacing w:after="0" w:line="240" w:lineRule="auto"/>
        <w:jc w:val="center"/>
        <w:rPr>
          <w:rFonts w:ascii="Arial" w:eastAsia="Times New Roman" w:hAnsi="Arial" w:cs="Arial"/>
          <w:b/>
          <w:smallCaps/>
        </w:rPr>
      </w:pPr>
    </w:p>
    <w:p w:rsidR="00BB52F3" w:rsidRPr="006609FA" w:rsidRDefault="00BB52F3" w:rsidP="0001267D">
      <w:pPr>
        <w:spacing w:after="0" w:line="240" w:lineRule="auto"/>
        <w:jc w:val="center"/>
        <w:rPr>
          <w:rFonts w:ascii="Arial" w:eastAsia="Times New Roman" w:hAnsi="Arial" w:cs="Arial"/>
          <w:b/>
          <w:smallCaps/>
        </w:rPr>
      </w:pPr>
    </w:p>
    <w:p w:rsidR="00BB52F3" w:rsidRPr="006609FA" w:rsidRDefault="00BB52F3" w:rsidP="0001267D">
      <w:pPr>
        <w:spacing w:after="0" w:line="240" w:lineRule="auto"/>
        <w:jc w:val="center"/>
        <w:rPr>
          <w:rFonts w:ascii="Arial" w:eastAsia="Times New Roman" w:hAnsi="Arial" w:cs="Arial"/>
          <w:b/>
          <w:smallCaps/>
        </w:rPr>
      </w:pPr>
    </w:p>
    <w:p w:rsidR="0001267D" w:rsidRPr="006609FA" w:rsidRDefault="0001267D" w:rsidP="0001267D">
      <w:pPr>
        <w:spacing w:after="0" w:line="240" w:lineRule="auto"/>
        <w:jc w:val="center"/>
        <w:rPr>
          <w:rFonts w:ascii="Arial" w:eastAsia="Times New Roman" w:hAnsi="Arial" w:cs="Arial"/>
          <w:b/>
          <w:smallCaps/>
        </w:rPr>
      </w:pPr>
      <w:r w:rsidRPr="006609FA">
        <w:rPr>
          <w:rFonts w:ascii="Arial" w:eastAsia="Times New Roman" w:hAnsi="Arial" w:cs="Arial"/>
          <w:b/>
          <w:smallCaps/>
        </w:rPr>
        <w:t>(</w:t>
      </w:r>
      <w:r w:rsidR="00890230" w:rsidRPr="006609FA">
        <w:rPr>
          <w:rFonts w:ascii="Arial" w:eastAsia="Times New Roman" w:hAnsi="Arial" w:cs="Arial"/>
          <w:b/>
          <w:smallCaps/>
        </w:rPr>
        <w:t>CO-</w:t>
      </w:r>
      <w:r w:rsidR="006B6E02" w:rsidRPr="006609FA">
        <w:rPr>
          <w:rFonts w:ascii="Arial" w:eastAsia="Times New Roman" w:hAnsi="Arial" w:cs="Arial"/>
          <w:b/>
          <w:smallCaps/>
        </w:rPr>
        <w:t>l1161</w:t>
      </w:r>
      <w:r w:rsidRPr="006609FA">
        <w:rPr>
          <w:rFonts w:ascii="Arial" w:eastAsia="Times New Roman" w:hAnsi="Arial" w:cs="Arial"/>
          <w:b/>
          <w:smallCaps/>
        </w:rPr>
        <w:t>)</w:t>
      </w:r>
    </w:p>
    <w:p w:rsidR="0001267D" w:rsidRPr="006609FA" w:rsidRDefault="0001267D" w:rsidP="0001267D">
      <w:pPr>
        <w:spacing w:after="0" w:line="240" w:lineRule="auto"/>
        <w:jc w:val="center"/>
        <w:rPr>
          <w:rFonts w:ascii="Arial" w:eastAsia="Times New Roman" w:hAnsi="Arial" w:cs="Arial"/>
          <w:b/>
          <w:smallCaps/>
        </w:rPr>
      </w:pPr>
    </w:p>
    <w:p w:rsidR="008A4A10" w:rsidRPr="006609FA" w:rsidRDefault="00E96555" w:rsidP="0001267D">
      <w:pPr>
        <w:spacing w:after="0" w:line="240" w:lineRule="auto"/>
        <w:jc w:val="center"/>
        <w:rPr>
          <w:rFonts w:ascii="Arial" w:eastAsia="Times New Roman" w:hAnsi="Arial" w:cs="Arial"/>
          <w:b/>
        </w:rPr>
      </w:pPr>
      <w:r w:rsidRPr="006609FA">
        <w:rPr>
          <w:rFonts w:ascii="Arial" w:eastAsia="Times New Roman" w:hAnsi="Arial" w:cs="Arial"/>
          <w:b/>
        </w:rPr>
        <w:t xml:space="preserve">Environmental and </w:t>
      </w:r>
      <w:bookmarkStart w:id="0" w:name="_GoBack"/>
      <w:bookmarkEnd w:id="0"/>
      <w:r w:rsidRPr="006609FA">
        <w:rPr>
          <w:rFonts w:ascii="Arial" w:eastAsia="Times New Roman" w:hAnsi="Arial" w:cs="Arial"/>
          <w:b/>
        </w:rPr>
        <w:t>Social Management Report</w:t>
      </w:r>
    </w:p>
    <w:p w:rsidR="008A4A10" w:rsidRPr="006609FA" w:rsidRDefault="008A4A10" w:rsidP="008A4A10">
      <w:pPr>
        <w:spacing w:after="0" w:line="240" w:lineRule="auto"/>
        <w:jc w:val="center"/>
        <w:rPr>
          <w:rFonts w:ascii="Arial" w:eastAsia="Times New Roman" w:hAnsi="Arial" w:cs="Arial"/>
          <w:b/>
        </w:rPr>
      </w:pPr>
      <w:r w:rsidRPr="006609FA">
        <w:rPr>
          <w:rFonts w:ascii="Arial" w:eastAsia="Times New Roman" w:hAnsi="Arial" w:cs="Arial"/>
          <w:b/>
        </w:rPr>
        <w:br/>
        <w:t>(</w:t>
      </w:r>
      <w:r w:rsidR="00E96555" w:rsidRPr="006609FA">
        <w:rPr>
          <w:rFonts w:ascii="Arial" w:eastAsia="Times New Roman" w:hAnsi="Arial" w:cs="Arial"/>
          <w:b/>
        </w:rPr>
        <w:t>ESMR</w:t>
      </w:r>
      <w:r w:rsidRPr="006609FA">
        <w:rPr>
          <w:rFonts w:ascii="Arial" w:eastAsia="Times New Roman" w:hAnsi="Arial" w:cs="Arial"/>
          <w:b/>
        </w:rPr>
        <w:t>)</w:t>
      </w: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472D74" w:rsidRPr="006609FA" w:rsidRDefault="00DF20F3" w:rsidP="00890230">
      <w:pPr>
        <w:pBdr>
          <w:top w:val="single" w:sz="4" w:space="1" w:color="auto"/>
          <w:left w:val="single" w:sz="4" w:space="4" w:color="auto"/>
          <w:bottom w:val="single" w:sz="4" w:space="1" w:color="auto"/>
          <w:right w:val="single" w:sz="4" w:space="4" w:color="auto"/>
        </w:pBdr>
        <w:rPr>
          <w:rFonts w:ascii="Arial" w:hAnsi="Arial" w:cs="Arial"/>
        </w:rPr>
      </w:pPr>
      <w:r w:rsidRPr="006609FA">
        <w:rPr>
          <w:rFonts w:ascii="Arial" w:hAnsi="Arial" w:cs="Arial"/>
        </w:rPr>
        <w:t>Project Team</w:t>
      </w:r>
      <w:r w:rsidR="00472D74" w:rsidRPr="006609FA">
        <w:rPr>
          <w:rFonts w:ascii="Arial" w:hAnsi="Arial" w:cs="Arial"/>
        </w:rPr>
        <w:t xml:space="preserve">: </w:t>
      </w:r>
      <w:r w:rsidR="00F75220" w:rsidRPr="006609FA">
        <w:rPr>
          <w:rFonts w:ascii="Arial" w:hAnsi="Arial" w:cs="Arial"/>
        </w:rPr>
        <w:t>Maria Netto, IFD/CMF, Team Leader;  Jose Ramon Gomez, ENE/CCO, Alternate Team Leader; Javier Cuervo, INE/ENE, Jose Juan Gomes, Gloria Lugo, Maria Margarita Cabrera, Leticia Riquelme, Sebastian Vargas, Alejandro Tamola and Annabella Gaggero, IFD/CMF; Alvaro Concha, CMF/CCO; Claudio Alatorre and Veronica Valencia, INE/CCS; Colin McKee, VPS/ESG; Claudia Cardenas and Gabriele del Monte, FMP/CCO; and Escarlata Baza, LEG/SGO</w:t>
      </w:r>
      <w:r w:rsidR="00890230" w:rsidRPr="006609FA">
        <w:rPr>
          <w:rFonts w:ascii="Arial" w:hAnsi="Arial" w:cs="Arial"/>
        </w:rPr>
        <w:t>.</w:t>
      </w:r>
    </w:p>
    <w:p w:rsidR="008A4A10" w:rsidRPr="006609FA" w:rsidRDefault="008A4A10" w:rsidP="008A4A10">
      <w:pPr>
        <w:tabs>
          <w:tab w:val="left" w:pos="1440"/>
          <w:tab w:val="left" w:pos="3060"/>
        </w:tabs>
        <w:spacing w:after="0" w:line="240" w:lineRule="auto"/>
        <w:jc w:val="center"/>
        <w:rPr>
          <w:rFonts w:ascii="Arial" w:eastAsia="Times New Roman" w:hAnsi="Arial" w:cs="Arial"/>
        </w:rPr>
      </w:pPr>
    </w:p>
    <w:p w:rsidR="00E96555" w:rsidRPr="006609FA" w:rsidRDefault="00E96555" w:rsidP="008A4A10">
      <w:pPr>
        <w:spacing w:after="0" w:line="240" w:lineRule="auto"/>
        <w:rPr>
          <w:rFonts w:ascii="Arial" w:eastAsia="Times New Roman" w:hAnsi="Arial" w:cs="Arial"/>
        </w:rPr>
      </w:pPr>
    </w:p>
    <w:p w:rsidR="00E96555" w:rsidRPr="006609FA" w:rsidRDefault="00E96555">
      <w:pPr>
        <w:rPr>
          <w:rFonts w:ascii="Arial" w:eastAsia="Times New Roman" w:hAnsi="Arial" w:cs="Arial"/>
        </w:rPr>
      </w:pPr>
      <w:r w:rsidRPr="006609FA">
        <w:rPr>
          <w:rFonts w:ascii="Arial" w:eastAsia="Times New Roman" w:hAnsi="Arial" w:cs="Arial"/>
        </w:rPr>
        <w:br w:type="page"/>
      </w:r>
    </w:p>
    <w:p w:rsidR="008A4A10" w:rsidRPr="006609FA" w:rsidRDefault="008A4A10" w:rsidP="008A4A10">
      <w:pPr>
        <w:spacing w:after="0" w:line="240" w:lineRule="auto"/>
        <w:rPr>
          <w:rFonts w:ascii="Arial" w:eastAsia="Times New Roman" w:hAnsi="Arial" w:cs="Arial"/>
        </w:rPr>
      </w:pPr>
    </w:p>
    <w:p w:rsidR="008A4A10" w:rsidRPr="006609FA" w:rsidRDefault="00640849" w:rsidP="00C90F9A">
      <w:pPr>
        <w:numPr>
          <w:ilvl w:val="0"/>
          <w:numId w:val="1"/>
        </w:numPr>
        <w:suppressAutoHyphens/>
        <w:autoSpaceDN w:val="0"/>
        <w:spacing w:before="120" w:after="120" w:line="240" w:lineRule="auto"/>
        <w:ind w:hanging="900"/>
        <w:jc w:val="both"/>
        <w:textAlignment w:val="baseline"/>
        <w:outlineLvl w:val="1"/>
        <w:rPr>
          <w:rFonts w:ascii="Arial" w:eastAsia="Times New Roman" w:hAnsi="Arial" w:cs="Arial"/>
          <w:b/>
        </w:rPr>
      </w:pPr>
      <w:r w:rsidRPr="006609FA">
        <w:rPr>
          <w:rFonts w:ascii="Arial" w:eastAsia="Times New Roman" w:hAnsi="Arial" w:cs="Arial"/>
          <w:b/>
        </w:rPr>
        <w:t>Introduction</w:t>
      </w:r>
    </w:p>
    <w:tbl>
      <w:tblPr>
        <w:tblW w:w="9108" w:type="dxa"/>
        <w:tblInd w:w="482" w:type="dxa"/>
        <w:tblLayout w:type="fixed"/>
        <w:tblCellMar>
          <w:left w:w="122" w:type="dxa"/>
          <w:right w:w="122" w:type="dxa"/>
        </w:tblCellMar>
        <w:tblLook w:val="0000" w:firstRow="0" w:lastRow="0" w:firstColumn="0" w:lastColumn="0" w:noHBand="0" w:noVBand="0"/>
      </w:tblPr>
      <w:tblGrid>
        <w:gridCol w:w="90"/>
        <w:gridCol w:w="3060"/>
        <w:gridCol w:w="5130"/>
        <w:gridCol w:w="828"/>
      </w:tblGrid>
      <w:tr w:rsidR="00A56F4F" w:rsidRPr="006609FA" w:rsidTr="009116CD">
        <w:trPr>
          <w:gridAfter w:val="1"/>
          <w:wAfter w:w="828" w:type="dxa"/>
          <w:cantSplit/>
          <w:trHeight w:val="233"/>
        </w:trPr>
        <w:tc>
          <w:tcPr>
            <w:tcW w:w="8280" w:type="dxa"/>
            <w:gridSpan w:val="3"/>
          </w:tcPr>
          <w:p w:rsidR="00A56F4F" w:rsidRPr="006609FA" w:rsidRDefault="00A56F4F" w:rsidP="00A56F4F">
            <w:pPr>
              <w:spacing w:after="0" w:line="240" w:lineRule="auto"/>
              <w:rPr>
                <w:rFonts w:ascii="Arial" w:eastAsia="Times New Roman" w:hAnsi="Arial" w:cs="Arial"/>
              </w:rPr>
            </w:pP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7F7A84"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Country</w:t>
            </w:r>
          </w:p>
        </w:tc>
        <w:tc>
          <w:tcPr>
            <w:tcW w:w="5958" w:type="dxa"/>
            <w:gridSpan w:val="2"/>
            <w:shd w:val="clear" w:color="auto" w:fill="auto"/>
          </w:tcPr>
          <w:p w:rsidR="00A56F4F" w:rsidRPr="006609FA" w:rsidRDefault="00890230"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Colombia</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A56F4F"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Sector</w:t>
            </w:r>
          </w:p>
        </w:tc>
        <w:tc>
          <w:tcPr>
            <w:tcW w:w="5958" w:type="dxa"/>
            <w:gridSpan w:val="2"/>
            <w:shd w:val="clear" w:color="auto" w:fill="auto"/>
          </w:tcPr>
          <w:p w:rsidR="00A56F4F" w:rsidRPr="006609FA" w:rsidRDefault="003C5BA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Financial Markets</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3C5BA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Project Name</w:t>
            </w:r>
          </w:p>
        </w:tc>
        <w:tc>
          <w:tcPr>
            <w:tcW w:w="5958" w:type="dxa"/>
            <w:gridSpan w:val="2"/>
            <w:shd w:val="clear" w:color="auto" w:fill="auto"/>
          </w:tcPr>
          <w:p w:rsidR="00A56F4F" w:rsidRPr="006609FA" w:rsidRDefault="00F75220"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Renewable Energy Financing Program for the Non Interconnected Zones</w:t>
            </w:r>
          </w:p>
        </w:tc>
      </w:tr>
      <w:tr w:rsidR="007F7A84"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7F7A84" w:rsidRPr="006609FA" w:rsidRDefault="007F7A84"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hAnsi="Arial" w:cs="Arial"/>
              </w:rPr>
              <w:t>Borrower</w:t>
            </w:r>
          </w:p>
        </w:tc>
        <w:tc>
          <w:tcPr>
            <w:tcW w:w="5958" w:type="dxa"/>
            <w:gridSpan w:val="2"/>
            <w:shd w:val="clear" w:color="auto" w:fill="auto"/>
          </w:tcPr>
          <w:p w:rsidR="007F7A84" w:rsidRPr="006609FA" w:rsidRDefault="00890230" w:rsidP="00CE518B">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hAnsi="Arial" w:cs="Arial"/>
              </w:rPr>
              <w:t>Banco de Comercio Exterior de Colombia S.A. (Bancoldex)</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7F7A84"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hAnsi="Arial" w:cs="Arial"/>
              </w:rPr>
              <w:t>Executing Agency</w:t>
            </w:r>
          </w:p>
        </w:tc>
        <w:tc>
          <w:tcPr>
            <w:tcW w:w="5958" w:type="dxa"/>
            <w:gridSpan w:val="2"/>
            <w:shd w:val="clear" w:color="auto" w:fill="auto"/>
          </w:tcPr>
          <w:p w:rsidR="00A56F4F" w:rsidRPr="006609FA" w:rsidRDefault="00890230" w:rsidP="00CE518B">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hAnsi="Arial" w:cs="Arial"/>
              </w:rPr>
              <w:t>Banco de Comercio Exterior de Colombia S.A. (Bancoldex)</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3C5BA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Transaction Type</w:t>
            </w:r>
          </w:p>
        </w:tc>
        <w:tc>
          <w:tcPr>
            <w:tcW w:w="5958" w:type="dxa"/>
            <w:gridSpan w:val="2"/>
            <w:shd w:val="clear" w:color="auto" w:fill="auto"/>
          </w:tcPr>
          <w:p w:rsidR="00A56F4F" w:rsidRPr="006609FA" w:rsidRDefault="003C5BA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Loan with Sovereign Guarantee</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3C5BA6" w:rsidP="003C5BA6">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Project Cost</w:t>
            </w:r>
            <w:r w:rsidR="00A56F4F" w:rsidRPr="006609FA">
              <w:rPr>
                <w:rFonts w:ascii="Arial" w:eastAsia="Arial Unicode MS" w:hAnsi="Arial" w:cs="Arial"/>
              </w:rPr>
              <w:t xml:space="preserve"> (</w:t>
            </w:r>
            <w:r w:rsidRPr="006609FA">
              <w:rPr>
                <w:rFonts w:ascii="Arial" w:eastAsia="Arial Unicode MS" w:hAnsi="Arial" w:cs="Arial"/>
              </w:rPr>
              <w:t>in US Dollars</w:t>
            </w:r>
            <w:r w:rsidR="00A56F4F" w:rsidRPr="006609FA">
              <w:rPr>
                <w:rFonts w:ascii="Arial" w:eastAsia="Arial Unicode MS" w:hAnsi="Arial" w:cs="Arial"/>
              </w:rPr>
              <w:t>)</w:t>
            </w:r>
          </w:p>
        </w:tc>
        <w:tc>
          <w:tcPr>
            <w:tcW w:w="5958" w:type="dxa"/>
            <w:gridSpan w:val="2"/>
            <w:shd w:val="clear" w:color="auto" w:fill="auto"/>
          </w:tcPr>
          <w:p w:rsidR="00A56F4F" w:rsidRPr="006609FA" w:rsidRDefault="00890230" w:rsidP="00F75220">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US$9.</w:t>
            </w:r>
            <w:r w:rsidR="00F75220" w:rsidRPr="006609FA">
              <w:rPr>
                <w:rFonts w:ascii="Arial" w:eastAsia="Arial Unicode MS" w:hAnsi="Arial" w:cs="Arial"/>
              </w:rPr>
              <w:t>265</w:t>
            </w:r>
            <w:r w:rsidRPr="006609FA">
              <w:rPr>
                <w:rFonts w:ascii="Arial" w:eastAsia="Arial Unicode MS" w:hAnsi="Arial" w:cs="Arial"/>
              </w:rPr>
              <w:t xml:space="preserve"> million</w:t>
            </w:r>
          </w:p>
        </w:tc>
      </w:tr>
      <w:tr w:rsidR="00A56F4F" w:rsidRPr="006609FA" w:rsidTr="009116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Before w:val="1"/>
          <w:wBefore w:w="90" w:type="dxa"/>
        </w:trPr>
        <w:tc>
          <w:tcPr>
            <w:tcW w:w="3060" w:type="dxa"/>
            <w:shd w:val="clear" w:color="auto" w:fill="auto"/>
          </w:tcPr>
          <w:p w:rsidR="00A56F4F" w:rsidRPr="006609FA" w:rsidRDefault="003C5BA6" w:rsidP="00A56F4F">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rPr>
                <w:rFonts w:ascii="Arial" w:eastAsia="Arial Unicode MS" w:hAnsi="Arial" w:cs="Arial"/>
              </w:rPr>
            </w:pPr>
            <w:r w:rsidRPr="006609FA">
              <w:rPr>
                <w:rFonts w:ascii="Arial" w:eastAsia="Arial Unicode MS" w:hAnsi="Arial" w:cs="Arial"/>
              </w:rPr>
              <w:t>Environmental Category</w:t>
            </w:r>
          </w:p>
        </w:tc>
        <w:tc>
          <w:tcPr>
            <w:tcW w:w="5958" w:type="dxa"/>
            <w:gridSpan w:val="2"/>
            <w:shd w:val="clear" w:color="auto" w:fill="auto"/>
          </w:tcPr>
          <w:p w:rsidR="00A56F4F" w:rsidRPr="006609FA" w:rsidRDefault="003C5BA6" w:rsidP="00F75220">
            <w:pPr>
              <w:tabs>
                <w:tab w:val="left" w:pos="0"/>
                <w:tab w:val="left" w:pos="720"/>
                <w:tab w:val="left" w:pos="1440"/>
                <w:tab w:val="left" w:pos="2160"/>
                <w:tab w:val="left" w:pos="2880"/>
                <w:tab w:val="left" w:pos="3600"/>
                <w:tab w:val="left" w:pos="4320"/>
                <w:tab w:val="center" w:pos="5040"/>
                <w:tab w:val="left" w:pos="7200"/>
                <w:tab w:val="left" w:pos="7920"/>
                <w:tab w:val="left" w:pos="8640"/>
                <w:tab w:val="left" w:pos="9360"/>
              </w:tabs>
              <w:spacing w:after="0" w:line="240" w:lineRule="auto"/>
              <w:jc w:val="both"/>
              <w:rPr>
                <w:rFonts w:ascii="Arial" w:eastAsia="Arial Unicode MS" w:hAnsi="Arial" w:cs="Arial"/>
              </w:rPr>
            </w:pPr>
            <w:r w:rsidRPr="006609FA">
              <w:rPr>
                <w:rFonts w:ascii="Arial" w:eastAsia="Arial Unicode MS" w:hAnsi="Arial" w:cs="Arial"/>
              </w:rPr>
              <w:t xml:space="preserve">Directive </w:t>
            </w:r>
            <w:r w:rsidR="00A56F4F" w:rsidRPr="006609FA">
              <w:rPr>
                <w:rFonts w:ascii="Arial" w:eastAsia="Arial Unicode MS" w:hAnsi="Arial" w:cs="Arial"/>
              </w:rPr>
              <w:t>B13</w:t>
            </w:r>
            <w:r w:rsidR="007F5C08" w:rsidRPr="006609FA">
              <w:rPr>
                <w:rFonts w:ascii="Arial" w:eastAsia="Arial Unicode MS" w:hAnsi="Arial" w:cs="Arial"/>
              </w:rPr>
              <w:t xml:space="preserve"> (</w:t>
            </w:r>
            <w:r w:rsidR="00F75220" w:rsidRPr="006609FA">
              <w:rPr>
                <w:rFonts w:ascii="Arial" w:eastAsia="Arial Unicode MS" w:hAnsi="Arial" w:cs="Arial"/>
              </w:rPr>
              <w:t>Medium</w:t>
            </w:r>
            <w:r w:rsidR="00467BD8" w:rsidRPr="006609FA">
              <w:rPr>
                <w:rFonts w:ascii="Arial" w:eastAsia="Arial Unicode MS" w:hAnsi="Arial" w:cs="Arial"/>
              </w:rPr>
              <w:t xml:space="preserve"> risk</w:t>
            </w:r>
            <w:r w:rsidR="007F5C08" w:rsidRPr="006609FA">
              <w:rPr>
                <w:rFonts w:ascii="Arial" w:eastAsia="Arial Unicode MS" w:hAnsi="Arial" w:cs="Arial"/>
              </w:rPr>
              <w:t>, FI-</w:t>
            </w:r>
            <w:r w:rsidR="00F75220" w:rsidRPr="006609FA">
              <w:rPr>
                <w:rFonts w:ascii="Arial" w:eastAsia="Arial Unicode MS" w:hAnsi="Arial" w:cs="Arial"/>
              </w:rPr>
              <w:t>2</w:t>
            </w:r>
            <w:r w:rsidR="007F5C08" w:rsidRPr="006609FA">
              <w:rPr>
                <w:rFonts w:ascii="Arial" w:eastAsia="Arial Unicode MS" w:hAnsi="Arial" w:cs="Arial"/>
              </w:rPr>
              <w:t>)</w:t>
            </w:r>
          </w:p>
        </w:tc>
      </w:tr>
      <w:tr w:rsidR="00A56F4F" w:rsidRPr="006609FA" w:rsidTr="009116CD">
        <w:trPr>
          <w:gridAfter w:val="1"/>
          <w:wAfter w:w="828" w:type="dxa"/>
          <w:cantSplit/>
          <w:trHeight w:val="226"/>
        </w:trPr>
        <w:tc>
          <w:tcPr>
            <w:tcW w:w="8280" w:type="dxa"/>
            <w:gridSpan w:val="3"/>
          </w:tcPr>
          <w:p w:rsidR="00A56F4F" w:rsidRPr="006609FA" w:rsidRDefault="00A56F4F" w:rsidP="00A56F4F">
            <w:pPr>
              <w:spacing w:after="0" w:line="240" w:lineRule="auto"/>
              <w:rPr>
                <w:rFonts w:ascii="Arial" w:eastAsia="Times New Roman" w:hAnsi="Arial" w:cs="Arial"/>
              </w:rPr>
            </w:pPr>
          </w:p>
        </w:tc>
      </w:tr>
      <w:tr w:rsidR="00A56F4F" w:rsidRPr="006609FA" w:rsidTr="009116CD">
        <w:trPr>
          <w:gridAfter w:val="1"/>
          <w:wAfter w:w="828" w:type="dxa"/>
          <w:cantSplit/>
          <w:trHeight w:val="234"/>
        </w:trPr>
        <w:tc>
          <w:tcPr>
            <w:tcW w:w="8280" w:type="dxa"/>
            <w:gridSpan w:val="3"/>
          </w:tcPr>
          <w:p w:rsidR="00A56F4F" w:rsidRPr="006609FA" w:rsidRDefault="00A56F4F" w:rsidP="00A56F4F">
            <w:pPr>
              <w:spacing w:after="0" w:line="240" w:lineRule="auto"/>
              <w:rPr>
                <w:rFonts w:ascii="Arial" w:eastAsia="Times New Roman" w:hAnsi="Arial" w:cs="Arial"/>
              </w:rPr>
            </w:pPr>
          </w:p>
        </w:tc>
      </w:tr>
    </w:tbl>
    <w:p w:rsidR="00640849" w:rsidRPr="006609FA" w:rsidRDefault="00640849" w:rsidP="00640849">
      <w:pPr>
        <w:numPr>
          <w:ilvl w:val="0"/>
          <w:numId w:val="1"/>
        </w:numPr>
        <w:suppressAutoHyphens/>
        <w:autoSpaceDN w:val="0"/>
        <w:spacing w:before="120" w:after="120" w:line="240" w:lineRule="auto"/>
        <w:ind w:hanging="900"/>
        <w:jc w:val="both"/>
        <w:textAlignment w:val="baseline"/>
        <w:outlineLvl w:val="1"/>
        <w:rPr>
          <w:rFonts w:ascii="Arial" w:eastAsia="Times New Roman" w:hAnsi="Arial" w:cs="Arial"/>
          <w:b/>
        </w:rPr>
      </w:pPr>
      <w:r w:rsidRPr="006609FA">
        <w:rPr>
          <w:rFonts w:ascii="Arial" w:eastAsia="Times New Roman" w:hAnsi="Arial" w:cs="Arial"/>
          <w:b/>
        </w:rPr>
        <w:t>Project Description</w:t>
      </w:r>
    </w:p>
    <w:p w:rsidR="00F75220" w:rsidRPr="006609FA" w:rsidRDefault="00F75220" w:rsidP="00F75220">
      <w:pPr>
        <w:pStyle w:val="Paragraph"/>
        <w:numPr>
          <w:ilvl w:val="1"/>
          <w:numId w:val="13"/>
        </w:numPr>
        <w:rPr>
          <w:rFonts w:ascii="Arial" w:hAnsi="Arial" w:cs="Arial"/>
          <w:sz w:val="22"/>
          <w:szCs w:val="22"/>
          <w:lang w:val="en-US"/>
        </w:rPr>
      </w:pPr>
      <w:r w:rsidRPr="006609FA">
        <w:rPr>
          <w:rFonts w:ascii="Arial" w:hAnsi="Arial" w:cs="Arial"/>
          <w:sz w:val="22"/>
          <w:szCs w:val="22"/>
          <w:lang w:val="en-US"/>
        </w:rPr>
        <w:t xml:space="preserve">The goal of the program is to promote and increase private investments in RE generation in the ZNIs while reducing Greenhouse Gas (GHG) emissions. This would be achieved through a pilot program providing long term financing with adequate conditions to private investors.  </w:t>
      </w:r>
    </w:p>
    <w:p w:rsidR="00F75220" w:rsidRPr="006609FA" w:rsidRDefault="00F75220" w:rsidP="00F75220">
      <w:pPr>
        <w:pStyle w:val="Paragraph"/>
        <w:numPr>
          <w:ilvl w:val="1"/>
          <w:numId w:val="13"/>
        </w:numPr>
        <w:rPr>
          <w:rFonts w:ascii="Arial" w:hAnsi="Arial" w:cs="Arial"/>
          <w:sz w:val="22"/>
          <w:szCs w:val="22"/>
          <w:lang w:val="en-US"/>
        </w:rPr>
      </w:pPr>
      <w:r w:rsidRPr="006609FA">
        <w:rPr>
          <w:rFonts w:ascii="Arial" w:hAnsi="Arial" w:cs="Arial"/>
          <w:sz w:val="22"/>
          <w:szCs w:val="22"/>
          <w:lang w:val="en-US"/>
        </w:rPr>
        <w:t>Program beneficiaries will be private sector operators offering and managing public electricity services and renewable technology providers who would be interested in investing in RE mini-grid generation.</w:t>
      </w:r>
    </w:p>
    <w:p w:rsidR="00F75220" w:rsidRPr="006609FA" w:rsidRDefault="00F75220" w:rsidP="00F75220">
      <w:pPr>
        <w:pStyle w:val="Paragraph"/>
        <w:numPr>
          <w:ilvl w:val="1"/>
          <w:numId w:val="13"/>
        </w:numPr>
        <w:rPr>
          <w:rFonts w:ascii="Arial" w:hAnsi="Arial" w:cs="Arial"/>
          <w:sz w:val="22"/>
          <w:szCs w:val="22"/>
          <w:lang w:val="en-US"/>
        </w:rPr>
      </w:pPr>
      <w:r w:rsidRPr="006609FA">
        <w:rPr>
          <w:rFonts w:ascii="Arial" w:hAnsi="Arial" w:cs="Arial"/>
          <w:sz w:val="22"/>
          <w:szCs w:val="22"/>
          <w:lang w:val="en-US"/>
        </w:rPr>
        <w:t xml:space="preserve">Eligible activities will include medium and long term (more than two years) investments in renewable energy technologies.   </w:t>
      </w:r>
    </w:p>
    <w:p w:rsidR="00F75220" w:rsidRPr="006609FA" w:rsidRDefault="00F75220" w:rsidP="00F75220">
      <w:pPr>
        <w:pStyle w:val="Paragraph"/>
        <w:numPr>
          <w:ilvl w:val="1"/>
          <w:numId w:val="13"/>
        </w:numPr>
        <w:rPr>
          <w:rFonts w:ascii="Arial" w:hAnsi="Arial" w:cs="Arial"/>
          <w:sz w:val="22"/>
          <w:szCs w:val="22"/>
          <w:lang w:val="en-US"/>
        </w:rPr>
      </w:pPr>
      <w:r w:rsidRPr="006609FA">
        <w:rPr>
          <w:rFonts w:ascii="Arial" w:hAnsi="Arial" w:cs="Arial"/>
          <w:sz w:val="22"/>
          <w:szCs w:val="22"/>
          <w:lang w:val="en-US"/>
        </w:rPr>
        <w:t xml:space="preserve">Single component. The program will consist of a Global Credit Loan, its’ only component will be long-term funding to Bancoldex, Colombia’s public bank in charge of supporting entrepreneurial development, for on-lending to eligible first tier local financial institutions (FIs) to provide sub-loans at adequate terms to eligible private sector firms interested in undertaking RE investment projects in the ZNIs. </w:t>
      </w:r>
    </w:p>
    <w:p w:rsidR="00724C6F" w:rsidRPr="006609FA" w:rsidRDefault="00F75220" w:rsidP="00F75220">
      <w:pPr>
        <w:pStyle w:val="Paragraph"/>
        <w:numPr>
          <w:ilvl w:val="1"/>
          <w:numId w:val="13"/>
        </w:numPr>
        <w:rPr>
          <w:rFonts w:ascii="Arial" w:hAnsi="Arial" w:cs="Arial"/>
          <w:sz w:val="22"/>
          <w:szCs w:val="22"/>
          <w:lang w:val="en-US"/>
        </w:rPr>
      </w:pPr>
      <w:r w:rsidRPr="006609FA">
        <w:rPr>
          <w:rFonts w:ascii="Arial" w:hAnsi="Arial" w:cs="Arial"/>
          <w:sz w:val="22"/>
          <w:szCs w:val="22"/>
          <w:lang w:val="en-US"/>
        </w:rPr>
        <w:t>Expected impacts of the program would be an increase in RE generation in the ZNIs and hence a reduction in GHG emissions. Its intermediate outcome would be the percentage increase in energy generation by beneficiary firms from RE sources vis-à-vis comparable, non-beneficiary firms. The outputs would be: an increase in the number of operators who access financing for RE projects; and an increase in the annual dollar amount of medium- and long-term loans granted by the program and its resulting investments in RE</w:t>
      </w:r>
      <w:r w:rsidR="00724C6F" w:rsidRPr="006609FA">
        <w:rPr>
          <w:rFonts w:ascii="Arial" w:hAnsi="Arial" w:cs="Arial"/>
          <w:sz w:val="22"/>
          <w:szCs w:val="22"/>
          <w:lang w:val="en-US"/>
        </w:rPr>
        <w:t xml:space="preserve">. </w:t>
      </w:r>
    </w:p>
    <w:p w:rsidR="008F278A" w:rsidRPr="006609FA" w:rsidRDefault="008F278A" w:rsidP="008F278A">
      <w:pPr>
        <w:pStyle w:val="Paragraph"/>
        <w:tabs>
          <w:tab w:val="clear" w:pos="720"/>
        </w:tabs>
        <w:ind w:left="0" w:firstLine="0"/>
        <w:rPr>
          <w:rFonts w:ascii="Arial" w:hAnsi="Arial" w:cs="Arial"/>
          <w:sz w:val="22"/>
          <w:szCs w:val="22"/>
          <w:lang w:val="en-US"/>
        </w:rPr>
      </w:pPr>
    </w:p>
    <w:p w:rsidR="00DA200A" w:rsidRPr="006609FA" w:rsidRDefault="00640849" w:rsidP="0005212E">
      <w:pPr>
        <w:numPr>
          <w:ilvl w:val="0"/>
          <w:numId w:val="1"/>
        </w:numPr>
        <w:tabs>
          <w:tab w:val="left" w:pos="810"/>
        </w:tabs>
        <w:suppressAutoHyphens/>
        <w:autoSpaceDN w:val="0"/>
        <w:spacing w:before="120" w:after="120" w:line="240" w:lineRule="auto"/>
        <w:ind w:left="720" w:hanging="720"/>
        <w:jc w:val="both"/>
        <w:textAlignment w:val="baseline"/>
        <w:outlineLvl w:val="1"/>
        <w:rPr>
          <w:rFonts w:ascii="Arial" w:eastAsia="Times New Roman" w:hAnsi="Arial" w:cs="Arial"/>
          <w:b/>
        </w:rPr>
      </w:pPr>
      <w:r w:rsidRPr="006609FA">
        <w:rPr>
          <w:rFonts w:ascii="Arial" w:eastAsia="Times New Roman" w:hAnsi="Arial" w:cs="Arial"/>
          <w:b/>
        </w:rPr>
        <w:t>Compliance Status and Project Standards</w:t>
      </w:r>
    </w:p>
    <w:p w:rsidR="00CE518B" w:rsidRPr="006609FA" w:rsidRDefault="00640849" w:rsidP="00C90F9A">
      <w:pPr>
        <w:pStyle w:val="Paragraph"/>
        <w:numPr>
          <w:ilvl w:val="1"/>
          <w:numId w:val="1"/>
        </w:numPr>
        <w:ind w:left="720" w:hanging="900"/>
        <w:rPr>
          <w:rFonts w:ascii="Arial" w:hAnsi="Arial" w:cs="Arial"/>
          <w:sz w:val="22"/>
          <w:szCs w:val="22"/>
          <w:lang w:val="en-US"/>
        </w:rPr>
      </w:pPr>
      <w:r w:rsidRPr="006609FA">
        <w:rPr>
          <w:rFonts w:ascii="Arial" w:hAnsi="Arial" w:cs="Arial"/>
          <w:sz w:val="22"/>
          <w:szCs w:val="22"/>
          <w:lang w:val="en-US"/>
        </w:rPr>
        <w:t xml:space="preserve">Based on Directive B.13 of the Environment and Safeguards Compliance Policy (OP-703), the </w:t>
      </w:r>
      <w:r w:rsidR="00DF0242" w:rsidRPr="006609FA">
        <w:rPr>
          <w:rFonts w:ascii="Arial" w:hAnsi="Arial" w:cs="Arial"/>
          <w:sz w:val="22"/>
          <w:szCs w:val="22"/>
          <w:lang w:val="en-US"/>
        </w:rPr>
        <w:t>Program</w:t>
      </w:r>
      <w:r w:rsidRPr="006609FA">
        <w:rPr>
          <w:rFonts w:ascii="Arial" w:hAnsi="Arial" w:cs="Arial"/>
          <w:sz w:val="22"/>
          <w:szCs w:val="22"/>
          <w:lang w:val="en-US"/>
        </w:rPr>
        <w:t xml:space="preserve"> is classified as a Financial Intermediary and as such this operation is not categorized according to its potential </w:t>
      </w:r>
      <w:r w:rsidR="00BB56AD" w:rsidRPr="006609FA">
        <w:rPr>
          <w:rFonts w:ascii="Arial" w:hAnsi="Arial" w:cs="Arial"/>
          <w:sz w:val="22"/>
          <w:szCs w:val="22"/>
          <w:lang w:val="en-US"/>
        </w:rPr>
        <w:t>E&amp;S</w:t>
      </w:r>
      <w:r w:rsidRPr="006609FA">
        <w:rPr>
          <w:rFonts w:ascii="Arial" w:hAnsi="Arial" w:cs="Arial"/>
          <w:sz w:val="22"/>
          <w:szCs w:val="22"/>
          <w:lang w:val="en-US"/>
        </w:rPr>
        <w:t xml:space="preserve"> impacts and risks. </w:t>
      </w:r>
    </w:p>
    <w:p w:rsidR="0079390B" w:rsidRPr="006609FA" w:rsidRDefault="00640849" w:rsidP="00F70371">
      <w:pPr>
        <w:pStyle w:val="Paragraph"/>
        <w:numPr>
          <w:ilvl w:val="1"/>
          <w:numId w:val="1"/>
        </w:numPr>
        <w:ind w:left="720" w:hanging="900"/>
        <w:rPr>
          <w:rFonts w:ascii="Arial" w:hAnsi="Arial" w:cs="Arial"/>
          <w:sz w:val="22"/>
          <w:szCs w:val="22"/>
          <w:lang w:val="en-US"/>
        </w:rPr>
      </w:pPr>
      <w:r w:rsidRPr="006609FA">
        <w:rPr>
          <w:rFonts w:ascii="Arial" w:hAnsi="Arial" w:cs="Arial"/>
          <w:sz w:val="22"/>
          <w:szCs w:val="22"/>
          <w:lang w:val="en-US"/>
        </w:rPr>
        <w:t xml:space="preserve">The </w:t>
      </w:r>
      <w:r w:rsidR="00DF0242" w:rsidRPr="006609FA">
        <w:rPr>
          <w:rFonts w:ascii="Arial" w:hAnsi="Arial" w:cs="Arial"/>
          <w:sz w:val="22"/>
          <w:szCs w:val="22"/>
          <w:lang w:val="en-US"/>
        </w:rPr>
        <w:t>Program’s</w:t>
      </w:r>
      <w:r w:rsidRPr="006609FA">
        <w:rPr>
          <w:rFonts w:ascii="Arial" w:hAnsi="Arial" w:cs="Arial"/>
          <w:sz w:val="22"/>
          <w:szCs w:val="22"/>
          <w:lang w:val="en-US"/>
        </w:rPr>
        <w:t xml:space="preserve"> target </w:t>
      </w:r>
      <w:r w:rsidR="00CE518B" w:rsidRPr="006609FA">
        <w:rPr>
          <w:rFonts w:ascii="Arial" w:hAnsi="Arial" w:cs="Arial"/>
          <w:sz w:val="22"/>
          <w:szCs w:val="22"/>
          <w:lang w:val="en-US"/>
        </w:rPr>
        <w:t>is</w:t>
      </w:r>
      <w:r w:rsidR="00DF0242" w:rsidRPr="006609FA">
        <w:rPr>
          <w:rFonts w:ascii="Arial" w:hAnsi="Arial" w:cs="Arial"/>
          <w:sz w:val="22"/>
          <w:szCs w:val="22"/>
          <w:lang w:val="en-US"/>
        </w:rPr>
        <w:t xml:space="preserve"> to support </w:t>
      </w:r>
      <w:r w:rsidR="00CE518B" w:rsidRPr="006609FA">
        <w:rPr>
          <w:rFonts w:ascii="Arial" w:hAnsi="Arial" w:cs="Arial"/>
          <w:sz w:val="22"/>
          <w:szCs w:val="22"/>
          <w:lang w:val="en-US"/>
        </w:rPr>
        <w:t xml:space="preserve">the financing of </w:t>
      </w:r>
      <w:r w:rsidR="0016132A" w:rsidRPr="006609FA">
        <w:rPr>
          <w:rFonts w:ascii="Arial" w:hAnsi="Arial" w:cs="Arial"/>
          <w:sz w:val="22"/>
          <w:szCs w:val="22"/>
          <w:lang w:val="en-US"/>
        </w:rPr>
        <w:t xml:space="preserve">small-scale </w:t>
      </w:r>
      <w:r w:rsidR="00CE518B" w:rsidRPr="006609FA">
        <w:rPr>
          <w:rFonts w:ascii="Arial" w:hAnsi="Arial" w:cs="Arial"/>
          <w:sz w:val="22"/>
          <w:szCs w:val="22"/>
          <w:lang w:val="en-US"/>
        </w:rPr>
        <w:t>renewable energy projects</w:t>
      </w:r>
      <w:r w:rsidRPr="006609FA">
        <w:rPr>
          <w:rFonts w:ascii="Arial" w:hAnsi="Arial" w:cs="Arial"/>
          <w:sz w:val="22"/>
          <w:szCs w:val="22"/>
          <w:lang w:val="en-US"/>
        </w:rPr>
        <w:t>.</w:t>
      </w:r>
      <w:r w:rsidR="00020639" w:rsidRPr="006609FA">
        <w:rPr>
          <w:rFonts w:ascii="Arial" w:hAnsi="Arial" w:cs="Arial"/>
          <w:sz w:val="22"/>
          <w:szCs w:val="22"/>
          <w:lang w:val="en-US"/>
        </w:rPr>
        <w:t xml:space="preserve"> </w:t>
      </w:r>
      <w:r w:rsidR="00DF0242" w:rsidRPr="006609FA">
        <w:rPr>
          <w:rFonts w:ascii="Arial" w:hAnsi="Arial" w:cs="Arial"/>
          <w:sz w:val="22"/>
          <w:szCs w:val="22"/>
          <w:lang w:val="en-US"/>
        </w:rPr>
        <w:t xml:space="preserve">The </w:t>
      </w:r>
      <w:r w:rsidR="00CE518B" w:rsidRPr="006609FA">
        <w:rPr>
          <w:rFonts w:ascii="Arial" w:hAnsi="Arial" w:cs="Arial"/>
          <w:sz w:val="22"/>
          <w:szCs w:val="22"/>
          <w:lang w:val="en-US"/>
        </w:rPr>
        <w:t>expected technologies will be mainly solar</w:t>
      </w:r>
      <w:r w:rsidR="00527C8B" w:rsidRPr="006609FA">
        <w:rPr>
          <w:rFonts w:ascii="Arial" w:hAnsi="Arial" w:cs="Arial"/>
          <w:sz w:val="22"/>
          <w:szCs w:val="22"/>
          <w:lang w:val="en-US"/>
        </w:rPr>
        <w:t>, small scale hydro</w:t>
      </w:r>
      <w:r w:rsidR="00CE518B" w:rsidRPr="006609FA">
        <w:rPr>
          <w:rFonts w:ascii="Arial" w:hAnsi="Arial" w:cs="Arial"/>
          <w:sz w:val="22"/>
          <w:szCs w:val="22"/>
          <w:lang w:val="en-US"/>
        </w:rPr>
        <w:t xml:space="preserve"> and </w:t>
      </w:r>
      <w:r w:rsidR="00F70371" w:rsidRPr="006609FA">
        <w:rPr>
          <w:rFonts w:ascii="Arial" w:hAnsi="Arial" w:cs="Arial"/>
          <w:sz w:val="22"/>
          <w:szCs w:val="22"/>
          <w:lang w:val="en-US"/>
        </w:rPr>
        <w:t xml:space="preserve">biomass </w:t>
      </w:r>
      <w:r w:rsidR="00F70371" w:rsidRPr="006609FA">
        <w:rPr>
          <w:rFonts w:ascii="Arial" w:hAnsi="Arial" w:cs="Arial"/>
          <w:sz w:val="22"/>
          <w:szCs w:val="22"/>
          <w:lang w:val="en-US"/>
        </w:rPr>
        <w:lastRenderedPageBreak/>
        <w:t xml:space="preserve">from agricultural waste. </w:t>
      </w:r>
      <w:r w:rsidR="0016132A" w:rsidRPr="006609FA">
        <w:rPr>
          <w:rFonts w:ascii="Arial" w:hAnsi="Arial" w:cs="Arial"/>
          <w:sz w:val="22"/>
          <w:szCs w:val="22"/>
          <w:lang w:val="en-US"/>
        </w:rPr>
        <w:t>All sub-p</w:t>
      </w:r>
      <w:r w:rsidR="00F70371" w:rsidRPr="006609FA">
        <w:rPr>
          <w:rFonts w:ascii="Arial" w:hAnsi="Arial" w:cs="Arial"/>
          <w:sz w:val="22"/>
          <w:szCs w:val="22"/>
          <w:lang w:val="en-US"/>
        </w:rPr>
        <w:t>rojects will be under 10MW.</w:t>
      </w:r>
      <w:r w:rsidR="00DF0242" w:rsidRPr="006609FA">
        <w:rPr>
          <w:rFonts w:ascii="Arial" w:hAnsi="Arial" w:cs="Arial"/>
          <w:sz w:val="22"/>
          <w:szCs w:val="22"/>
          <w:lang w:val="en-US"/>
        </w:rPr>
        <w:t xml:space="preserve"> </w:t>
      </w:r>
      <w:r w:rsidR="00527C8B" w:rsidRPr="006609FA">
        <w:rPr>
          <w:rFonts w:ascii="Arial" w:hAnsi="Arial" w:cs="Arial"/>
          <w:sz w:val="22"/>
          <w:szCs w:val="22"/>
          <w:lang w:val="en-US"/>
        </w:rPr>
        <w:t xml:space="preserve">It is expected that the program will cover a maximum of 10 beneficiaries and that the projects size will be in the </w:t>
      </w:r>
      <w:r w:rsidR="00D9088E">
        <w:rPr>
          <w:rFonts w:ascii="Arial" w:hAnsi="Arial" w:cs="Arial"/>
          <w:sz w:val="22"/>
          <w:szCs w:val="22"/>
          <w:lang w:val="en-US"/>
        </w:rPr>
        <w:t>500KW</w:t>
      </w:r>
      <w:r w:rsidR="00527C8B" w:rsidRPr="006609FA">
        <w:rPr>
          <w:rFonts w:ascii="Arial" w:hAnsi="Arial" w:cs="Arial"/>
          <w:sz w:val="22"/>
          <w:szCs w:val="22"/>
          <w:lang w:val="en-US"/>
        </w:rPr>
        <w:t xml:space="preserve"> to 5MW range,</w:t>
      </w:r>
      <w:r w:rsidR="00DF0242" w:rsidRPr="006609FA">
        <w:rPr>
          <w:rFonts w:ascii="Arial" w:hAnsi="Arial" w:cs="Arial"/>
          <w:sz w:val="22"/>
          <w:szCs w:val="22"/>
          <w:lang w:val="en-US"/>
        </w:rPr>
        <w:t xml:space="preserve"> </w:t>
      </w:r>
      <w:r w:rsidR="00AC34F0" w:rsidRPr="006609FA">
        <w:rPr>
          <w:rFonts w:ascii="Arial" w:hAnsi="Arial" w:cs="Arial"/>
          <w:sz w:val="22"/>
          <w:szCs w:val="22"/>
          <w:lang w:val="en-US"/>
        </w:rPr>
        <w:t xml:space="preserve">These </w:t>
      </w:r>
      <w:r w:rsidR="006B7A68" w:rsidRPr="006609FA">
        <w:rPr>
          <w:rFonts w:ascii="Arial" w:hAnsi="Arial" w:cs="Arial"/>
          <w:sz w:val="22"/>
          <w:szCs w:val="22"/>
          <w:lang w:val="en-US"/>
        </w:rPr>
        <w:t>sub-</w:t>
      </w:r>
      <w:r w:rsidR="00AC34F0" w:rsidRPr="006609FA">
        <w:rPr>
          <w:rFonts w:ascii="Arial" w:hAnsi="Arial" w:cs="Arial"/>
          <w:sz w:val="22"/>
          <w:szCs w:val="22"/>
          <w:lang w:val="en-US"/>
        </w:rPr>
        <w:t>projects</w:t>
      </w:r>
      <w:r w:rsidR="00A43C2E" w:rsidRPr="006609FA">
        <w:rPr>
          <w:rFonts w:ascii="Arial" w:hAnsi="Arial" w:cs="Arial"/>
          <w:sz w:val="22"/>
          <w:szCs w:val="22"/>
          <w:lang w:val="en-US"/>
        </w:rPr>
        <w:t xml:space="preserve"> are considered </w:t>
      </w:r>
      <w:r w:rsidR="00F70371" w:rsidRPr="006609FA">
        <w:rPr>
          <w:rFonts w:ascii="Arial" w:hAnsi="Arial" w:cs="Arial"/>
          <w:sz w:val="22"/>
          <w:szCs w:val="22"/>
          <w:lang w:val="en-US"/>
        </w:rPr>
        <w:t>low to medium</w:t>
      </w:r>
      <w:r w:rsidR="00A43C2E" w:rsidRPr="006609FA">
        <w:rPr>
          <w:rFonts w:ascii="Arial" w:hAnsi="Arial" w:cs="Arial"/>
          <w:sz w:val="22"/>
          <w:szCs w:val="22"/>
          <w:lang w:val="en-US"/>
        </w:rPr>
        <w:t xml:space="preserve"> risk and are likely to be</w:t>
      </w:r>
      <w:r w:rsidR="00AC34F0" w:rsidRPr="006609FA">
        <w:rPr>
          <w:rFonts w:ascii="Arial" w:hAnsi="Arial" w:cs="Arial"/>
          <w:sz w:val="22"/>
          <w:szCs w:val="22"/>
          <w:lang w:val="en-US"/>
        </w:rPr>
        <w:t xml:space="preserve"> classified Category </w:t>
      </w:r>
      <w:r w:rsidR="00F70371" w:rsidRPr="006609FA">
        <w:rPr>
          <w:rFonts w:ascii="Arial" w:hAnsi="Arial" w:cs="Arial"/>
          <w:sz w:val="22"/>
          <w:szCs w:val="22"/>
          <w:lang w:val="en-US"/>
        </w:rPr>
        <w:t>B</w:t>
      </w:r>
      <w:r w:rsidR="00A43C2E" w:rsidRPr="006609FA">
        <w:rPr>
          <w:rFonts w:ascii="Arial" w:hAnsi="Arial" w:cs="Arial"/>
          <w:sz w:val="22"/>
          <w:szCs w:val="22"/>
          <w:lang w:val="en-US"/>
        </w:rPr>
        <w:t xml:space="preserve">. </w:t>
      </w:r>
      <w:r w:rsidRPr="006609FA">
        <w:rPr>
          <w:rFonts w:ascii="Arial" w:hAnsi="Arial" w:cs="Arial"/>
          <w:sz w:val="22"/>
          <w:szCs w:val="22"/>
          <w:lang w:val="en-US"/>
        </w:rPr>
        <w:t xml:space="preserve">Based on the information presented, this </w:t>
      </w:r>
      <w:r w:rsidR="00172CB2" w:rsidRPr="006609FA">
        <w:rPr>
          <w:rFonts w:ascii="Arial" w:hAnsi="Arial" w:cs="Arial"/>
          <w:sz w:val="22"/>
          <w:szCs w:val="22"/>
          <w:lang w:val="en-US"/>
        </w:rPr>
        <w:t>Program</w:t>
      </w:r>
      <w:r w:rsidRPr="006609FA">
        <w:rPr>
          <w:rFonts w:ascii="Arial" w:hAnsi="Arial" w:cs="Arial"/>
          <w:sz w:val="22"/>
          <w:szCs w:val="22"/>
          <w:lang w:val="en-US"/>
        </w:rPr>
        <w:t xml:space="preserve"> is categorized as </w:t>
      </w:r>
      <w:r w:rsidR="00F70371" w:rsidRPr="006609FA">
        <w:rPr>
          <w:rFonts w:ascii="Arial" w:hAnsi="Arial" w:cs="Arial"/>
          <w:sz w:val="22"/>
          <w:szCs w:val="22"/>
          <w:lang w:val="en-US"/>
        </w:rPr>
        <w:t>medium</w:t>
      </w:r>
      <w:r w:rsidRPr="006609FA">
        <w:rPr>
          <w:rFonts w:ascii="Arial" w:hAnsi="Arial" w:cs="Arial"/>
          <w:sz w:val="22"/>
          <w:szCs w:val="22"/>
          <w:lang w:val="en-US"/>
        </w:rPr>
        <w:t xml:space="preserve"> risk (FI-</w:t>
      </w:r>
      <w:r w:rsidR="00F70371" w:rsidRPr="006609FA">
        <w:rPr>
          <w:rFonts w:ascii="Arial" w:hAnsi="Arial" w:cs="Arial"/>
          <w:sz w:val="22"/>
          <w:szCs w:val="22"/>
          <w:lang w:val="en-US"/>
        </w:rPr>
        <w:t>2</w:t>
      </w:r>
      <w:r w:rsidRPr="006609FA">
        <w:rPr>
          <w:rFonts w:ascii="Arial" w:hAnsi="Arial" w:cs="Arial"/>
          <w:sz w:val="22"/>
          <w:szCs w:val="22"/>
          <w:lang w:val="en-US"/>
        </w:rPr>
        <w:t xml:space="preserve">). </w:t>
      </w:r>
    </w:p>
    <w:p w:rsidR="0079390B" w:rsidRPr="006609FA" w:rsidRDefault="0079390B" w:rsidP="0079390B">
      <w:pPr>
        <w:pStyle w:val="Paragraph"/>
        <w:tabs>
          <w:tab w:val="clear" w:pos="720"/>
        </w:tabs>
        <w:ind w:firstLine="0"/>
        <w:rPr>
          <w:rFonts w:ascii="Arial" w:hAnsi="Arial" w:cs="Arial"/>
          <w:sz w:val="22"/>
          <w:szCs w:val="22"/>
          <w:lang w:val="en-US"/>
        </w:rPr>
      </w:pPr>
    </w:p>
    <w:p w:rsidR="008A4A10" w:rsidRPr="006609FA" w:rsidRDefault="00AF3E19" w:rsidP="00683F8B">
      <w:pPr>
        <w:numPr>
          <w:ilvl w:val="0"/>
          <w:numId w:val="1"/>
        </w:numPr>
        <w:tabs>
          <w:tab w:val="left" w:pos="810"/>
        </w:tabs>
        <w:suppressAutoHyphens/>
        <w:autoSpaceDN w:val="0"/>
        <w:spacing w:before="120" w:after="120" w:line="240" w:lineRule="auto"/>
        <w:ind w:left="720" w:hanging="720"/>
        <w:jc w:val="both"/>
        <w:textAlignment w:val="baseline"/>
        <w:outlineLvl w:val="1"/>
        <w:rPr>
          <w:rFonts w:ascii="Arial" w:eastAsia="Times New Roman" w:hAnsi="Arial" w:cs="Arial"/>
          <w:b/>
        </w:rPr>
      </w:pPr>
      <w:r w:rsidRPr="006609FA">
        <w:rPr>
          <w:rFonts w:ascii="Arial" w:eastAsia="Times New Roman" w:hAnsi="Arial" w:cs="Arial"/>
          <w:b/>
        </w:rPr>
        <w:t>Key Environmental and Social Impacts, Risks and Mitigation</w:t>
      </w:r>
    </w:p>
    <w:p w:rsidR="00AE1132" w:rsidRPr="006609FA" w:rsidRDefault="00AE1132" w:rsidP="004B09A4">
      <w:pPr>
        <w:pStyle w:val="ListParagraph"/>
        <w:numPr>
          <w:ilvl w:val="0"/>
          <w:numId w:val="3"/>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Given the size of the projects (less than 10MW in all instances</w:t>
      </w:r>
      <w:r w:rsidR="00D9088E">
        <w:rPr>
          <w:rFonts w:ascii="Arial" w:eastAsia="Cambria" w:hAnsi="Arial" w:cs="Arial"/>
          <w:color w:val="000000"/>
        </w:rPr>
        <w:t xml:space="preserve"> and 500KW</w:t>
      </w:r>
      <w:r w:rsidR="00527C8B" w:rsidRPr="006609FA">
        <w:rPr>
          <w:rFonts w:ascii="Arial" w:eastAsia="Cambria" w:hAnsi="Arial" w:cs="Arial"/>
          <w:color w:val="000000"/>
        </w:rPr>
        <w:t xml:space="preserve"> to 5MW expected in average</w:t>
      </w:r>
      <w:r w:rsidRPr="006609FA">
        <w:rPr>
          <w:rFonts w:ascii="Arial" w:eastAsia="Cambria" w:hAnsi="Arial" w:cs="Arial"/>
          <w:color w:val="000000"/>
        </w:rPr>
        <w:t xml:space="preserve">, concentrated in solar </w:t>
      </w:r>
      <w:r w:rsidR="00A9645C" w:rsidRPr="006609FA">
        <w:rPr>
          <w:rFonts w:ascii="Arial" w:eastAsia="Cambria" w:hAnsi="Arial" w:cs="Arial"/>
          <w:color w:val="000000"/>
        </w:rPr>
        <w:t xml:space="preserve">power </w:t>
      </w:r>
      <w:r w:rsidRPr="006609FA">
        <w:rPr>
          <w:rFonts w:ascii="Arial" w:eastAsia="Cambria" w:hAnsi="Arial" w:cs="Arial"/>
          <w:color w:val="000000"/>
        </w:rPr>
        <w:t xml:space="preserve">and biomass from agricultural waste) these potential impacts are expected to be minimal to moderate. Main potential risks identified for this program are </w:t>
      </w:r>
      <w:r w:rsidR="00A9645C" w:rsidRPr="006609FA">
        <w:rPr>
          <w:rFonts w:ascii="Arial" w:eastAsia="Cambria" w:hAnsi="Arial" w:cs="Arial"/>
          <w:color w:val="000000"/>
        </w:rPr>
        <w:t>primarily related to land use change in the area identified as the site location for the particular plant</w:t>
      </w:r>
      <w:r w:rsidRPr="006609FA">
        <w:rPr>
          <w:rFonts w:ascii="Arial" w:eastAsia="Cambria" w:hAnsi="Arial" w:cs="Arial"/>
          <w:color w:val="000000"/>
        </w:rPr>
        <w:t xml:space="preserve">. Those risks and any other potential risk will be (i) avoided by the application of an exclusion list or (ii) identified and mitigated via the application of Bancoldex ESMS and the issuance of the relevant permits (see below). </w:t>
      </w:r>
    </w:p>
    <w:p w:rsidR="00527C8B" w:rsidRPr="006609FA" w:rsidRDefault="004B09A4" w:rsidP="004B09A4">
      <w:pPr>
        <w:pStyle w:val="ListParagraph"/>
        <w:numPr>
          <w:ilvl w:val="0"/>
          <w:numId w:val="3"/>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Electricity generation projects in Colombia which are under 10MW do not require a </w:t>
      </w:r>
      <w:r w:rsidR="0016132A" w:rsidRPr="006609FA">
        <w:rPr>
          <w:rFonts w:ascii="Arial" w:eastAsia="Cambria" w:hAnsi="Arial" w:cs="Arial"/>
          <w:color w:val="000000"/>
        </w:rPr>
        <w:t xml:space="preserve">Federal </w:t>
      </w:r>
      <w:r w:rsidRPr="006609FA">
        <w:rPr>
          <w:rFonts w:ascii="Arial" w:eastAsia="Cambria" w:hAnsi="Arial" w:cs="Arial"/>
          <w:color w:val="000000"/>
        </w:rPr>
        <w:t xml:space="preserve">license. </w:t>
      </w:r>
      <w:r w:rsidR="0016132A" w:rsidRPr="006609FA">
        <w:rPr>
          <w:rFonts w:ascii="Arial" w:eastAsia="Cambria" w:hAnsi="Arial" w:cs="Arial"/>
          <w:color w:val="000000"/>
        </w:rPr>
        <w:t>Municipal authorities do require that projects obtain necessary permits depending on the particular circumstances</w:t>
      </w:r>
      <w:r w:rsidRPr="006609FA">
        <w:rPr>
          <w:rFonts w:ascii="Arial" w:eastAsia="Cambria" w:hAnsi="Arial" w:cs="Arial"/>
          <w:color w:val="000000"/>
        </w:rPr>
        <w:t xml:space="preserve"> (water capture, waste disposal, impact on communities, air emission</w:t>
      </w:r>
      <w:r w:rsidR="0016132A" w:rsidRPr="006609FA">
        <w:rPr>
          <w:rFonts w:ascii="Arial" w:eastAsia="Cambria" w:hAnsi="Arial" w:cs="Arial"/>
          <w:color w:val="000000"/>
        </w:rPr>
        <w:t>s</w:t>
      </w:r>
      <w:r w:rsidRPr="006609FA">
        <w:rPr>
          <w:rFonts w:ascii="Arial" w:eastAsia="Cambria" w:hAnsi="Arial" w:cs="Arial"/>
          <w:color w:val="000000"/>
        </w:rPr>
        <w:t>, change in land use)</w:t>
      </w:r>
      <w:r w:rsidR="00527C8B" w:rsidRPr="006609FA">
        <w:rPr>
          <w:rFonts w:ascii="Arial" w:eastAsia="Cambria" w:hAnsi="Arial" w:cs="Arial"/>
          <w:color w:val="000000"/>
        </w:rPr>
        <w:t xml:space="preserve"> – See Annex 3</w:t>
      </w:r>
      <w:r w:rsidRPr="006609FA">
        <w:rPr>
          <w:rFonts w:ascii="Arial" w:eastAsia="Cambria" w:hAnsi="Arial" w:cs="Arial"/>
          <w:color w:val="000000"/>
        </w:rPr>
        <w:t xml:space="preserve">. </w:t>
      </w:r>
      <w:r w:rsidR="00527C8B" w:rsidRPr="006609FA">
        <w:rPr>
          <w:rFonts w:ascii="Arial" w:eastAsia="Cambria" w:hAnsi="Arial" w:cs="Arial"/>
          <w:color w:val="000000"/>
        </w:rPr>
        <w:t>The projects also need to comply with the Public Consultation Directive when applicable</w:t>
      </w:r>
      <w:r w:rsidR="00527C8B" w:rsidRPr="006609FA">
        <w:rPr>
          <w:rStyle w:val="FootnoteReference"/>
          <w:rFonts w:ascii="Arial" w:eastAsia="Cambria" w:hAnsi="Arial" w:cs="Arial"/>
          <w:color w:val="000000"/>
        </w:rPr>
        <w:footnoteReference w:id="1"/>
      </w:r>
      <w:r w:rsidR="00527C8B" w:rsidRPr="006609FA">
        <w:rPr>
          <w:rFonts w:ascii="Arial" w:eastAsia="Cambria" w:hAnsi="Arial" w:cs="Arial"/>
          <w:color w:val="000000"/>
        </w:rPr>
        <w:t xml:space="preserve">. </w:t>
      </w:r>
    </w:p>
    <w:p w:rsidR="004B09A4" w:rsidRPr="006609FA" w:rsidRDefault="004B09A4" w:rsidP="004B09A4">
      <w:pPr>
        <w:pStyle w:val="ListParagraph"/>
        <w:numPr>
          <w:ilvl w:val="0"/>
          <w:numId w:val="3"/>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Nevertheless, in the absence of a </w:t>
      </w:r>
      <w:r w:rsidR="0016132A" w:rsidRPr="006609FA">
        <w:rPr>
          <w:rFonts w:ascii="Arial" w:eastAsia="Cambria" w:hAnsi="Arial" w:cs="Arial"/>
          <w:color w:val="000000"/>
        </w:rPr>
        <w:t xml:space="preserve">Federal </w:t>
      </w:r>
      <w:r w:rsidRPr="006609FA">
        <w:rPr>
          <w:rFonts w:ascii="Arial" w:eastAsia="Cambria" w:hAnsi="Arial" w:cs="Arial"/>
          <w:color w:val="000000"/>
        </w:rPr>
        <w:t xml:space="preserve">licensing process, the E&amp;S risks management rules applicable to this program </w:t>
      </w:r>
      <w:r w:rsidR="00AE1132" w:rsidRPr="006609FA">
        <w:rPr>
          <w:rFonts w:ascii="Arial" w:eastAsia="Cambria" w:hAnsi="Arial" w:cs="Arial"/>
          <w:color w:val="000000"/>
        </w:rPr>
        <w:t>will require a</w:t>
      </w:r>
      <w:r w:rsidRPr="006609FA">
        <w:rPr>
          <w:rFonts w:ascii="Arial" w:eastAsia="Cambria" w:hAnsi="Arial" w:cs="Arial"/>
          <w:color w:val="000000"/>
        </w:rPr>
        <w:t xml:space="preserve"> thorough screening of potential risks and the design and implementation of a mitigation plan for each project.</w:t>
      </w:r>
    </w:p>
    <w:p w:rsidR="00453E00" w:rsidRPr="006609FA" w:rsidRDefault="00AF3E19" w:rsidP="00453E00">
      <w:pPr>
        <w:pStyle w:val="ListParagraph"/>
        <w:numPr>
          <w:ilvl w:val="0"/>
          <w:numId w:val="3"/>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The potential key environmental, social, health and safety, and labor issues and risks associated with this </w:t>
      </w:r>
      <w:r w:rsidR="00EB5931" w:rsidRPr="006609FA">
        <w:rPr>
          <w:rFonts w:ascii="Arial" w:eastAsia="Cambria" w:hAnsi="Arial" w:cs="Arial"/>
          <w:color w:val="000000"/>
        </w:rPr>
        <w:t>Program</w:t>
      </w:r>
      <w:r w:rsidRPr="006609FA">
        <w:rPr>
          <w:rFonts w:ascii="Arial" w:eastAsia="Cambria" w:hAnsi="Arial" w:cs="Arial"/>
          <w:color w:val="000000"/>
        </w:rPr>
        <w:t xml:space="preserve"> are those related to </w:t>
      </w:r>
      <w:r w:rsidR="00453E00" w:rsidRPr="006609FA">
        <w:rPr>
          <w:rFonts w:ascii="Arial" w:eastAsia="Cambria" w:hAnsi="Arial" w:cs="Arial"/>
          <w:color w:val="000000"/>
        </w:rPr>
        <w:t>renewable energy projects</w:t>
      </w:r>
      <w:r w:rsidRPr="006609FA">
        <w:rPr>
          <w:rFonts w:ascii="Arial" w:eastAsia="Cambria" w:hAnsi="Arial" w:cs="Arial"/>
          <w:color w:val="000000"/>
        </w:rPr>
        <w:t>.</w:t>
      </w:r>
      <w:r w:rsidR="00020639" w:rsidRPr="006609FA">
        <w:rPr>
          <w:rFonts w:ascii="Arial" w:eastAsia="Cambria" w:hAnsi="Arial" w:cs="Arial"/>
          <w:color w:val="000000"/>
        </w:rPr>
        <w:t xml:space="preserve"> </w:t>
      </w:r>
      <w:r w:rsidR="00453E00" w:rsidRPr="006609FA">
        <w:rPr>
          <w:rFonts w:ascii="Arial" w:eastAsia="Cambria" w:hAnsi="Arial" w:cs="Arial"/>
          <w:color w:val="000000"/>
        </w:rPr>
        <w:t xml:space="preserve">Renewable energy projects deliver long-term GHG emission reductions and are considered environmentally friendly projects as they entail cleaner energy production. However, some projects </w:t>
      </w:r>
      <w:r w:rsidR="00AE1132" w:rsidRPr="006609FA">
        <w:rPr>
          <w:rFonts w:ascii="Arial" w:eastAsia="Cambria" w:hAnsi="Arial" w:cs="Arial"/>
          <w:color w:val="000000"/>
        </w:rPr>
        <w:t xml:space="preserve">under this line, likely to average 2.5 MW in size, </w:t>
      </w:r>
      <w:r w:rsidR="00453E00" w:rsidRPr="006609FA">
        <w:rPr>
          <w:rFonts w:ascii="Arial" w:eastAsia="Cambria" w:hAnsi="Arial" w:cs="Arial"/>
          <w:color w:val="000000"/>
        </w:rPr>
        <w:t xml:space="preserve">can entail adverse environmental or social impacts that can be </w:t>
      </w:r>
      <w:r w:rsidR="0016132A" w:rsidRPr="006609FA">
        <w:rPr>
          <w:rFonts w:ascii="Arial" w:eastAsia="Cambria" w:hAnsi="Arial" w:cs="Arial"/>
          <w:color w:val="000000"/>
        </w:rPr>
        <w:t xml:space="preserve">moderate in nature </w:t>
      </w:r>
      <w:r w:rsidR="00453E00" w:rsidRPr="006609FA">
        <w:rPr>
          <w:rFonts w:ascii="Arial" w:eastAsia="Cambria" w:hAnsi="Arial" w:cs="Arial"/>
          <w:color w:val="000000"/>
        </w:rPr>
        <w:t xml:space="preserve">and which need to be assessed and managed on a project by project basis.  </w:t>
      </w:r>
    </w:p>
    <w:p w:rsidR="00453E00" w:rsidRPr="006609FA" w:rsidRDefault="00453E00" w:rsidP="00527C8B">
      <w:pPr>
        <w:pStyle w:val="ListParagraph"/>
        <w:numPr>
          <w:ilvl w:val="0"/>
          <w:numId w:val="3"/>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Environmental </w:t>
      </w:r>
      <w:r w:rsidR="00AD0C7E" w:rsidRPr="006609FA">
        <w:rPr>
          <w:rFonts w:ascii="Arial" w:eastAsia="Cambria" w:hAnsi="Arial" w:cs="Arial"/>
          <w:color w:val="000000"/>
        </w:rPr>
        <w:t xml:space="preserve">and social </w:t>
      </w:r>
      <w:r w:rsidRPr="006609FA">
        <w:rPr>
          <w:rFonts w:ascii="Arial" w:eastAsia="Cambria" w:hAnsi="Arial" w:cs="Arial"/>
          <w:color w:val="000000"/>
        </w:rPr>
        <w:t xml:space="preserve">issues that may potentially occur </w:t>
      </w:r>
      <w:r w:rsidR="00A9645C" w:rsidRPr="006609FA">
        <w:rPr>
          <w:rFonts w:ascii="Arial" w:eastAsia="Cambria" w:hAnsi="Arial" w:cs="Arial"/>
          <w:color w:val="000000"/>
        </w:rPr>
        <w:t xml:space="preserve">in the context of these projects </w:t>
      </w:r>
      <w:r w:rsidRPr="006609FA">
        <w:rPr>
          <w:rFonts w:ascii="Arial" w:eastAsia="Cambria" w:hAnsi="Arial" w:cs="Arial"/>
          <w:color w:val="000000"/>
        </w:rPr>
        <w:t xml:space="preserve">include the following: </w:t>
      </w:r>
    </w:p>
    <w:p w:rsidR="00453E00" w:rsidRPr="006609FA" w:rsidRDefault="00453E00" w:rsidP="00453E00">
      <w:pPr>
        <w:pStyle w:val="ListParagraph"/>
        <w:numPr>
          <w:ilvl w:val="1"/>
          <w:numId w:val="36"/>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Environmental </w:t>
      </w:r>
      <w:r w:rsidR="00A9645C" w:rsidRPr="006609FA">
        <w:rPr>
          <w:rFonts w:ascii="Arial" w:eastAsia="Cambria" w:hAnsi="Arial" w:cs="Arial"/>
          <w:color w:val="000000"/>
        </w:rPr>
        <w:t xml:space="preserve">impacts </w:t>
      </w:r>
      <w:r w:rsidRPr="006609FA">
        <w:rPr>
          <w:rFonts w:ascii="Arial" w:eastAsia="Cambria" w:hAnsi="Arial" w:cs="Arial"/>
          <w:color w:val="000000"/>
        </w:rPr>
        <w:t xml:space="preserve">caused by the associated infrastructure works </w:t>
      </w:r>
      <w:r w:rsidR="008F6D9D" w:rsidRPr="006609FA">
        <w:rPr>
          <w:rFonts w:ascii="Arial" w:eastAsia="Cambria" w:hAnsi="Arial" w:cs="Arial"/>
          <w:color w:val="000000"/>
        </w:rPr>
        <w:t>of small scale construction</w:t>
      </w:r>
      <w:r w:rsidRPr="006609FA">
        <w:rPr>
          <w:rFonts w:ascii="Arial" w:eastAsia="Cambria" w:hAnsi="Arial" w:cs="Arial"/>
          <w:color w:val="000000"/>
        </w:rPr>
        <w:t xml:space="preserve"> (roads, </w:t>
      </w:r>
      <w:r w:rsidR="008F6D9D" w:rsidRPr="006609FA">
        <w:rPr>
          <w:rFonts w:ascii="Arial" w:eastAsia="Cambria" w:hAnsi="Arial" w:cs="Arial"/>
          <w:color w:val="000000"/>
        </w:rPr>
        <w:t xml:space="preserve">power </w:t>
      </w:r>
      <w:r w:rsidRPr="006609FA">
        <w:rPr>
          <w:rFonts w:ascii="Arial" w:eastAsia="Cambria" w:hAnsi="Arial" w:cs="Arial"/>
          <w:color w:val="000000"/>
        </w:rPr>
        <w:t xml:space="preserve">lines, </w:t>
      </w:r>
      <w:r w:rsidR="00A9645C" w:rsidRPr="006609FA">
        <w:rPr>
          <w:rFonts w:ascii="Arial" w:eastAsia="Cambria" w:hAnsi="Arial" w:cs="Arial"/>
          <w:color w:val="000000"/>
        </w:rPr>
        <w:t>soil erosion, habi</w:t>
      </w:r>
      <w:r w:rsidR="007A34E6" w:rsidRPr="006609FA">
        <w:rPr>
          <w:rFonts w:ascii="Arial" w:eastAsia="Cambria" w:hAnsi="Arial" w:cs="Arial"/>
          <w:color w:val="000000"/>
        </w:rPr>
        <w:t>tat disturbance, increased heavy</w:t>
      </w:r>
      <w:r w:rsidR="00A9645C" w:rsidRPr="006609FA">
        <w:rPr>
          <w:rFonts w:ascii="Arial" w:eastAsia="Cambria" w:hAnsi="Arial" w:cs="Arial"/>
          <w:color w:val="000000"/>
        </w:rPr>
        <w:t xml:space="preserve"> traffic, </w:t>
      </w:r>
      <w:r w:rsidRPr="006609FA">
        <w:rPr>
          <w:rFonts w:ascii="Arial" w:eastAsia="Cambria" w:hAnsi="Arial" w:cs="Arial"/>
          <w:color w:val="000000"/>
        </w:rPr>
        <w:t xml:space="preserve">etc.). </w:t>
      </w:r>
    </w:p>
    <w:p w:rsidR="00A9645C" w:rsidRPr="006609FA" w:rsidRDefault="00A9645C" w:rsidP="00453E00">
      <w:pPr>
        <w:pStyle w:val="ListParagraph"/>
        <w:numPr>
          <w:ilvl w:val="1"/>
          <w:numId w:val="36"/>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 xml:space="preserve">Land use change </w:t>
      </w:r>
      <w:r w:rsidR="00453E00" w:rsidRPr="006609FA">
        <w:rPr>
          <w:rFonts w:ascii="Arial" w:eastAsia="Cambria" w:hAnsi="Arial" w:cs="Arial"/>
          <w:color w:val="000000"/>
        </w:rPr>
        <w:t>caused by the project location</w:t>
      </w:r>
      <w:r w:rsidR="007A34E6" w:rsidRPr="006609FA">
        <w:rPr>
          <w:rFonts w:ascii="Arial" w:eastAsia="Cambria" w:hAnsi="Arial" w:cs="Arial"/>
          <w:color w:val="000000"/>
        </w:rPr>
        <w:t xml:space="preserve"> on either existing degraded sites, or potentially new undeveloped areas possibly near sensitive</w:t>
      </w:r>
      <w:r w:rsidRPr="006609FA">
        <w:rPr>
          <w:rFonts w:ascii="Arial" w:eastAsia="Cambria" w:hAnsi="Arial" w:cs="Arial"/>
          <w:color w:val="000000"/>
        </w:rPr>
        <w:t xml:space="preserve"> natural habitat</w:t>
      </w:r>
      <w:r w:rsidR="007A34E6" w:rsidRPr="006609FA">
        <w:rPr>
          <w:rFonts w:ascii="Arial" w:eastAsia="Cambria" w:hAnsi="Arial" w:cs="Arial"/>
          <w:color w:val="000000"/>
        </w:rPr>
        <w:t xml:space="preserve"> (High Value Conservation areas per Annex 2 will be excluded)</w:t>
      </w:r>
      <w:r w:rsidR="00453E00" w:rsidRPr="006609FA">
        <w:rPr>
          <w:rFonts w:ascii="Arial" w:eastAsia="Cambria" w:hAnsi="Arial" w:cs="Arial"/>
          <w:color w:val="000000"/>
        </w:rPr>
        <w:t>.</w:t>
      </w:r>
      <w:r w:rsidRPr="006609FA">
        <w:rPr>
          <w:rFonts w:ascii="Arial" w:eastAsia="Cambria" w:hAnsi="Arial" w:cs="Arial"/>
          <w:color w:val="000000"/>
        </w:rPr>
        <w:t xml:space="preserve"> </w:t>
      </w:r>
    </w:p>
    <w:p w:rsidR="00A9645C" w:rsidRPr="006609FA" w:rsidRDefault="00A9645C" w:rsidP="00453E00">
      <w:pPr>
        <w:pStyle w:val="ListParagraph"/>
        <w:numPr>
          <w:ilvl w:val="1"/>
          <w:numId w:val="36"/>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Occupational health and safety issues for the workforce. Social impacts and safety concerns relevant for the neighboring residential communities</w:t>
      </w:r>
    </w:p>
    <w:p w:rsidR="00527C8B" w:rsidRPr="006609FA" w:rsidRDefault="00527C8B" w:rsidP="00453E00">
      <w:pPr>
        <w:pStyle w:val="ListParagraph"/>
        <w:numPr>
          <w:ilvl w:val="1"/>
          <w:numId w:val="36"/>
        </w:numPr>
        <w:autoSpaceDE w:val="0"/>
        <w:autoSpaceDN w:val="0"/>
        <w:adjustRightInd w:val="0"/>
        <w:spacing w:after="0" w:line="240" w:lineRule="auto"/>
        <w:jc w:val="both"/>
        <w:rPr>
          <w:rFonts w:ascii="Arial" w:eastAsia="Cambria" w:hAnsi="Arial" w:cs="Arial"/>
          <w:color w:val="000000"/>
        </w:rPr>
      </w:pPr>
      <w:r w:rsidRPr="006609FA">
        <w:rPr>
          <w:rFonts w:ascii="Arial" w:eastAsia="Cambria" w:hAnsi="Arial" w:cs="Arial"/>
          <w:color w:val="000000"/>
        </w:rPr>
        <w:t>GHG emissions ‘leakage’ if – in the case the project involves the replacement of equipment for increased energy efficiency (solar hybrid projects) – the old equipment is not disposed properly and removed from circulation</w:t>
      </w:r>
      <w:r w:rsidR="00ED0FB6" w:rsidRPr="006609FA">
        <w:rPr>
          <w:rFonts w:ascii="Arial" w:eastAsia="Cambria" w:hAnsi="Arial" w:cs="Arial"/>
          <w:color w:val="000000"/>
        </w:rPr>
        <w:t>.</w:t>
      </w:r>
    </w:p>
    <w:p w:rsidR="00962D29" w:rsidRPr="006609FA" w:rsidRDefault="00962D29" w:rsidP="00C94EAC">
      <w:pPr>
        <w:spacing w:after="0" w:line="240" w:lineRule="auto"/>
        <w:jc w:val="both"/>
        <w:rPr>
          <w:rFonts w:ascii="Arial" w:eastAsia="Times New Roman" w:hAnsi="Arial" w:cs="Arial"/>
        </w:rPr>
      </w:pPr>
    </w:p>
    <w:p w:rsidR="00AA0591" w:rsidRPr="006609FA" w:rsidRDefault="00C963D6" w:rsidP="006609FA">
      <w:pPr>
        <w:keepNext/>
        <w:numPr>
          <w:ilvl w:val="0"/>
          <w:numId w:val="1"/>
        </w:numPr>
        <w:tabs>
          <w:tab w:val="left" w:pos="810"/>
        </w:tabs>
        <w:suppressAutoHyphens/>
        <w:autoSpaceDN w:val="0"/>
        <w:spacing w:before="120" w:after="120" w:line="240" w:lineRule="auto"/>
        <w:ind w:left="907" w:hanging="907"/>
        <w:jc w:val="both"/>
        <w:textAlignment w:val="baseline"/>
        <w:outlineLvl w:val="1"/>
        <w:rPr>
          <w:rFonts w:ascii="Arial" w:eastAsia="Times New Roman" w:hAnsi="Arial" w:cs="Arial"/>
          <w:b/>
        </w:rPr>
      </w:pPr>
      <w:r w:rsidRPr="006609FA">
        <w:rPr>
          <w:rFonts w:ascii="Arial" w:eastAsia="Times New Roman" w:hAnsi="Arial" w:cs="Arial"/>
          <w:b/>
        </w:rPr>
        <w:t>Management and Monitoring of Environmental and Social Impacts</w:t>
      </w:r>
    </w:p>
    <w:p w:rsidR="00B63B6C" w:rsidRPr="006609FA" w:rsidRDefault="00F25008" w:rsidP="00F26A01">
      <w:pPr>
        <w:pStyle w:val="Paragraph"/>
        <w:numPr>
          <w:ilvl w:val="1"/>
          <w:numId w:val="1"/>
        </w:numPr>
        <w:tabs>
          <w:tab w:val="left" w:pos="720"/>
        </w:tabs>
        <w:ind w:left="720" w:hanging="900"/>
        <w:rPr>
          <w:rFonts w:ascii="Arial" w:hAnsi="Arial" w:cs="Arial"/>
          <w:bCs/>
          <w:sz w:val="22"/>
          <w:szCs w:val="22"/>
          <w:lang w:val="en-US"/>
        </w:rPr>
      </w:pPr>
      <w:r w:rsidRPr="006609FA">
        <w:rPr>
          <w:rFonts w:ascii="Arial" w:hAnsi="Arial" w:cs="Arial"/>
          <w:sz w:val="22"/>
          <w:szCs w:val="22"/>
          <w:lang w:val="en-US"/>
        </w:rPr>
        <w:t xml:space="preserve">Bancóldex has developed institutional capacity in the management of environmental and social risks and implemented a portfolio-wide Environmental and Social Management </w:t>
      </w:r>
      <w:r w:rsidRPr="006609FA">
        <w:rPr>
          <w:rFonts w:ascii="Arial" w:hAnsi="Arial" w:cs="Arial"/>
          <w:sz w:val="22"/>
          <w:szCs w:val="22"/>
          <w:lang w:val="en-US"/>
        </w:rPr>
        <w:lastRenderedPageBreak/>
        <w:t>System.  The system was developed with the technical assistance of the IDB (CO-T1198), and was designed for previous operations targeting SMEs, energy efficiency, and leasing.  It is applied only for sub-loans at or above USD$5 million.</w:t>
      </w:r>
      <w:r w:rsidR="00B63B6C" w:rsidRPr="006609FA">
        <w:rPr>
          <w:rFonts w:ascii="Arial" w:hAnsi="Arial" w:cs="Arial"/>
          <w:sz w:val="22"/>
          <w:szCs w:val="22"/>
          <w:lang w:val="en-US"/>
        </w:rPr>
        <w:t xml:space="preserve"> Unique among banks in the region is that Bancoldex, as a second tier bank, has developed tools and screening forms to assist its first tier banks in undertaking E&amp;S analysis on its on-lending.  </w:t>
      </w:r>
      <w:r w:rsidR="005F290C" w:rsidRPr="006609FA">
        <w:rPr>
          <w:rFonts w:ascii="Arial" w:hAnsi="Arial" w:cs="Arial"/>
          <w:sz w:val="22"/>
          <w:szCs w:val="22"/>
          <w:lang w:val="en-US"/>
        </w:rPr>
        <w:t>It on-lends through five first tier banks.</w:t>
      </w:r>
    </w:p>
    <w:p w:rsidR="002F422C" w:rsidRPr="006609FA" w:rsidRDefault="002F422C" w:rsidP="005F290C">
      <w:pPr>
        <w:pStyle w:val="Paragraph"/>
        <w:numPr>
          <w:ilvl w:val="1"/>
          <w:numId w:val="1"/>
        </w:numPr>
        <w:tabs>
          <w:tab w:val="left" w:pos="720"/>
        </w:tabs>
        <w:ind w:left="720" w:hanging="900"/>
        <w:rPr>
          <w:rFonts w:ascii="Arial" w:hAnsi="Arial" w:cs="Arial"/>
          <w:bCs/>
          <w:sz w:val="22"/>
          <w:szCs w:val="22"/>
          <w:lang w:val="en-US"/>
        </w:rPr>
      </w:pPr>
      <w:r w:rsidRPr="006609FA">
        <w:rPr>
          <w:rFonts w:ascii="Arial" w:hAnsi="Arial" w:cs="Arial"/>
          <w:bCs/>
          <w:sz w:val="22"/>
          <w:szCs w:val="22"/>
          <w:lang w:val="en-US"/>
        </w:rPr>
        <w:t xml:space="preserve">In integrating E&amp;S analysis into its loan appraisal process, Bancoldex </w:t>
      </w:r>
      <w:r w:rsidR="00A86489" w:rsidRPr="006609FA">
        <w:rPr>
          <w:rFonts w:ascii="Arial" w:hAnsi="Arial" w:cs="Arial"/>
          <w:bCs/>
          <w:sz w:val="22"/>
          <w:szCs w:val="22"/>
          <w:lang w:val="en-US"/>
        </w:rPr>
        <w:t xml:space="preserve">evaluates individual projects on a case by case basis in all instances where the sub-loan is in excess of US$5 million.  On these operations it relies on the evaluation conducted by the first tier bank in addition to information provided by the </w:t>
      </w:r>
      <w:r w:rsidR="005F290C" w:rsidRPr="006609FA">
        <w:rPr>
          <w:rFonts w:ascii="Arial" w:hAnsi="Arial" w:cs="Arial"/>
          <w:bCs/>
          <w:sz w:val="22"/>
          <w:szCs w:val="22"/>
          <w:lang w:val="en-US"/>
        </w:rPr>
        <w:t>end-borrower</w:t>
      </w:r>
      <w:r w:rsidR="00A86489" w:rsidRPr="006609FA">
        <w:rPr>
          <w:rFonts w:ascii="Arial" w:hAnsi="Arial" w:cs="Arial"/>
          <w:bCs/>
          <w:sz w:val="22"/>
          <w:szCs w:val="22"/>
          <w:lang w:val="en-US"/>
        </w:rPr>
        <w:t xml:space="preserve">.  Gaps are identified relative to local law, and on particular permit and/or licensing gaps, Bancoldex will incorporate an action plan and agree deadlines with the commercial banks to submit necessary documentation.  The current breakdown of its portfolio for sub-loans above US$5 million is Category A (26%), Category B (19.7%), and Category C (54.3%).  Categorization is determined on the severity of issues identified.  For sub-loans below US$5 million, Bancoldex does a more limited evaluation and categorizes on the basis of sectors financed.  </w:t>
      </w:r>
      <w:r w:rsidR="005F290C" w:rsidRPr="006609FA">
        <w:rPr>
          <w:rFonts w:ascii="Arial" w:hAnsi="Arial" w:cs="Arial"/>
          <w:bCs/>
          <w:sz w:val="22"/>
          <w:szCs w:val="22"/>
          <w:lang w:val="en-US"/>
        </w:rPr>
        <w:t>Bancoldex does not do site-specific due diligence itself but instead relies on its first tier banks.</w:t>
      </w:r>
      <w:r w:rsidR="00AD0C7E" w:rsidRPr="006609FA">
        <w:rPr>
          <w:rFonts w:ascii="Arial" w:hAnsi="Arial" w:cs="Arial"/>
          <w:bCs/>
          <w:sz w:val="22"/>
          <w:szCs w:val="22"/>
          <w:lang w:val="en-US"/>
        </w:rPr>
        <w:t xml:space="preserve">  Under this operation, Bancoldex will extend the application of its ESMS to all sub-loans </w:t>
      </w:r>
      <w:r w:rsidR="008F6D9D" w:rsidRPr="006609FA">
        <w:rPr>
          <w:rFonts w:ascii="Arial" w:hAnsi="Arial" w:cs="Arial"/>
          <w:bCs/>
          <w:sz w:val="22"/>
          <w:szCs w:val="22"/>
          <w:lang w:val="en-US"/>
        </w:rPr>
        <w:t>regardless of the current</w:t>
      </w:r>
      <w:r w:rsidR="00AD0C7E" w:rsidRPr="006609FA">
        <w:rPr>
          <w:rFonts w:ascii="Arial" w:hAnsi="Arial" w:cs="Arial"/>
          <w:bCs/>
          <w:sz w:val="22"/>
          <w:szCs w:val="22"/>
          <w:lang w:val="en-US"/>
        </w:rPr>
        <w:t xml:space="preserve"> US$5 million threshold</w:t>
      </w:r>
      <w:r w:rsidR="008F6D9D" w:rsidRPr="006609FA">
        <w:rPr>
          <w:rFonts w:ascii="Arial" w:hAnsi="Arial" w:cs="Arial"/>
          <w:bCs/>
          <w:sz w:val="22"/>
          <w:szCs w:val="22"/>
          <w:lang w:val="en-US"/>
        </w:rPr>
        <w:t>.</w:t>
      </w:r>
    </w:p>
    <w:p w:rsidR="00B63B6C" w:rsidRPr="006609FA" w:rsidRDefault="00B63B6C" w:rsidP="00F26A01">
      <w:pPr>
        <w:pStyle w:val="Paragraph"/>
        <w:numPr>
          <w:ilvl w:val="1"/>
          <w:numId w:val="1"/>
        </w:numPr>
        <w:tabs>
          <w:tab w:val="left" w:pos="720"/>
        </w:tabs>
        <w:ind w:left="720" w:hanging="900"/>
        <w:rPr>
          <w:rFonts w:ascii="Arial" w:hAnsi="Arial" w:cs="Arial"/>
          <w:bCs/>
          <w:sz w:val="22"/>
          <w:szCs w:val="22"/>
          <w:lang w:val="en-US"/>
        </w:rPr>
      </w:pPr>
      <w:r w:rsidRPr="006609FA">
        <w:rPr>
          <w:rFonts w:ascii="Arial" w:hAnsi="Arial" w:cs="Arial"/>
          <w:sz w:val="22"/>
          <w:szCs w:val="22"/>
          <w:lang w:val="en-US"/>
        </w:rPr>
        <w:t xml:space="preserve">Bancoldex does not have significant experience with </w:t>
      </w:r>
      <w:r w:rsidR="0079390B" w:rsidRPr="006609FA">
        <w:rPr>
          <w:rFonts w:ascii="Arial" w:hAnsi="Arial" w:cs="Arial"/>
          <w:sz w:val="22"/>
          <w:szCs w:val="22"/>
          <w:lang w:val="en-US"/>
        </w:rPr>
        <w:t>renewable</w:t>
      </w:r>
      <w:r w:rsidR="005F290C" w:rsidRPr="006609FA">
        <w:rPr>
          <w:rFonts w:ascii="Arial" w:hAnsi="Arial" w:cs="Arial"/>
          <w:sz w:val="22"/>
          <w:szCs w:val="22"/>
          <w:lang w:val="en-US"/>
        </w:rPr>
        <w:t xml:space="preserve"> energy projects</w:t>
      </w:r>
      <w:r w:rsidRPr="006609FA">
        <w:rPr>
          <w:rFonts w:ascii="Arial" w:hAnsi="Arial" w:cs="Arial"/>
          <w:sz w:val="22"/>
          <w:szCs w:val="22"/>
          <w:lang w:val="en-US"/>
        </w:rPr>
        <w:t xml:space="preserve">. </w:t>
      </w:r>
      <w:r w:rsidR="004B09A4" w:rsidRPr="006609FA">
        <w:rPr>
          <w:rFonts w:ascii="Arial" w:hAnsi="Arial" w:cs="Arial"/>
          <w:sz w:val="22"/>
          <w:szCs w:val="22"/>
          <w:lang w:val="en-US"/>
        </w:rPr>
        <w:t xml:space="preserve">And its ESMS is designed for Corporate lending rather than projects lending. </w:t>
      </w:r>
      <w:r w:rsidR="00F25008" w:rsidRPr="006609FA">
        <w:rPr>
          <w:rFonts w:ascii="Arial" w:hAnsi="Arial" w:cs="Arial"/>
          <w:sz w:val="22"/>
          <w:szCs w:val="22"/>
          <w:lang w:val="en-US"/>
        </w:rPr>
        <w:t xml:space="preserve"> </w:t>
      </w:r>
      <w:r w:rsidRPr="006609FA">
        <w:rPr>
          <w:rFonts w:ascii="Arial" w:hAnsi="Arial" w:cs="Arial"/>
          <w:sz w:val="22"/>
          <w:szCs w:val="22"/>
          <w:lang w:val="en-US"/>
        </w:rPr>
        <w:t xml:space="preserve">As such, IDB </w:t>
      </w:r>
      <w:r w:rsidR="004B09A4" w:rsidRPr="006609FA">
        <w:rPr>
          <w:rFonts w:ascii="Arial" w:hAnsi="Arial" w:cs="Arial"/>
          <w:sz w:val="22"/>
          <w:szCs w:val="22"/>
          <w:lang w:val="en-US"/>
        </w:rPr>
        <w:t xml:space="preserve">will provide assistance to </w:t>
      </w:r>
      <w:r w:rsidRPr="006609FA">
        <w:rPr>
          <w:rFonts w:ascii="Arial" w:hAnsi="Arial" w:cs="Arial"/>
          <w:sz w:val="22"/>
          <w:szCs w:val="22"/>
          <w:lang w:val="en-US"/>
        </w:rPr>
        <w:t xml:space="preserve">Bancoldex </w:t>
      </w:r>
      <w:r w:rsidR="004B09A4" w:rsidRPr="006609FA">
        <w:rPr>
          <w:rFonts w:ascii="Arial" w:hAnsi="Arial" w:cs="Arial"/>
          <w:sz w:val="22"/>
          <w:szCs w:val="22"/>
          <w:lang w:val="en-US"/>
        </w:rPr>
        <w:t>for the necessary adjustment of its ESMS tools</w:t>
      </w:r>
      <w:r w:rsidR="00B62BA5" w:rsidRPr="006609FA">
        <w:rPr>
          <w:rFonts w:ascii="Arial" w:hAnsi="Arial" w:cs="Arial"/>
          <w:sz w:val="22"/>
          <w:szCs w:val="22"/>
          <w:lang w:val="en-US"/>
        </w:rPr>
        <w:t xml:space="preserve">. </w:t>
      </w:r>
      <w:r w:rsidRPr="006609FA">
        <w:rPr>
          <w:rFonts w:ascii="Arial" w:hAnsi="Arial" w:cs="Arial"/>
          <w:sz w:val="22"/>
          <w:szCs w:val="22"/>
          <w:lang w:val="en-US"/>
        </w:rPr>
        <w:t xml:space="preserve"> </w:t>
      </w:r>
    </w:p>
    <w:p w:rsidR="0092359E" w:rsidRPr="006609FA" w:rsidRDefault="0092359E" w:rsidP="0092359E">
      <w:pPr>
        <w:spacing w:after="0" w:line="240" w:lineRule="auto"/>
        <w:jc w:val="both"/>
        <w:rPr>
          <w:rFonts w:ascii="Arial" w:eastAsia="Times New Roman" w:hAnsi="Arial" w:cs="Arial"/>
        </w:rPr>
      </w:pPr>
    </w:p>
    <w:p w:rsidR="00BF12CA" w:rsidRPr="006609FA" w:rsidRDefault="00683F8B" w:rsidP="006609FA">
      <w:pPr>
        <w:pStyle w:val="ListParagraph"/>
        <w:numPr>
          <w:ilvl w:val="0"/>
          <w:numId w:val="1"/>
        </w:numPr>
        <w:tabs>
          <w:tab w:val="left" w:pos="810"/>
        </w:tabs>
        <w:suppressAutoHyphens/>
        <w:autoSpaceDN w:val="0"/>
        <w:spacing w:before="120" w:after="120" w:line="240" w:lineRule="auto"/>
        <w:ind w:left="720" w:hanging="720"/>
        <w:jc w:val="both"/>
        <w:textAlignment w:val="baseline"/>
        <w:outlineLvl w:val="1"/>
        <w:rPr>
          <w:rFonts w:ascii="Arial" w:eastAsia="Times New Roman" w:hAnsi="Arial" w:cs="Arial"/>
          <w:b/>
        </w:rPr>
      </w:pPr>
      <w:r w:rsidRPr="006609FA">
        <w:rPr>
          <w:rFonts w:ascii="Arial" w:eastAsia="Times New Roman" w:hAnsi="Arial" w:cs="Arial"/>
          <w:b/>
        </w:rPr>
        <w:t>Requirements to be included in the Legal Agreements</w:t>
      </w:r>
      <w:r w:rsidR="005A6450" w:rsidRPr="006609FA">
        <w:rPr>
          <w:rFonts w:ascii="Arial" w:eastAsia="Times New Roman" w:hAnsi="Arial" w:cs="Arial"/>
          <w:b/>
        </w:rPr>
        <w:t xml:space="preserve"> </w:t>
      </w:r>
    </w:p>
    <w:p w:rsidR="000A6CD4" w:rsidRPr="000549BD" w:rsidRDefault="00595A5D" w:rsidP="000A6CD4">
      <w:pPr>
        <w:pStyle w:val="Default"/>
        <w:numPr>
          <w:ilvl w:val="1"/>
          <w:numId w:val="1"/>
        </w:numPr>
        <w:spacing w:after="120"/>
        <w:ind w:left="907" w:hanging="907"/>
        <w:jc w:val="both"/>
        <w:rPr>
          <w:rFonts w:ascii="Arial" w:hAnsi="Arial" w:cs="Arial"/>
          <w:sz w:val="22"/>
          <w:szCs w:val="22"/>
        </w:rPr>
      </w:pPr>
      <w:r w:rsidRPr="006609FA">
        <w:rPr>
          <w:rFonts w:ascii="Arial" w:hAnsi="Arial" w:cs="Arial"/>
          <w:sz w:val="22"/>
          <w:szCs w:val="22"/>
        </w:rPr>
        <w:t>For this operation</w:t>
      </w:r>
      <w:r w:rsidR="00C62A0E" w:rsidRPr="006609FA">
        <w:rPr>
          <w:rFonts w:ascii="Arial" w:hAnsi="Arial" w:cs="Arial"/>
          <w:sz w:val="22"/>
          <w:szCs w:val="22"/>
        </w:rPr>
        <w:t xml:space="preserve">, </w:t>
      </w:r>
      <w:r w:rsidRPr="006609FA">
        <w:rPr>
          <w:rFonts w:ascii="Arial" w:hAnsi="Arial" w:cs="Arial"/>
          <w:sz w:val="22"/>
          <w:szCs w:val="22"/>
        </w:rPr>
        <w:t xml:space="preserve"> </w:t>
      </w:r>
      <w:r w:rsidR="00C62A0E" w:rsidRPr="006609FA">
        <w:rPr>
          <w:rFonts w:ascii="Arial" w:hAnsi="Arial" w:cs="Arial"/>
          <w:sz w:val="22"/>
          <w:szCs w:val="22"/>
        </w:rPr>
        <w:t xml:space="preserve">the </w:t>
      </w:r>
      <w:r w:rsidRPr="006609FA">
        <w:rPr>
          <w:rFonts w:ascii="Arial" w:hAnsi="Arial" w:cs="Arial"/>
          <w:sz w:val="22"/>
          <w:szCs w:val="22"/>
        </w:rPr>
        <w:t xml:space="preserve">IDB will require </w:t>
      </w:r>
      <w:r w:rsidR="00C62A0E" w:rsidRPr="006609FA">
        <w:rPr>
          <w:rFonts w:ascii="Arial" w:hAnsi="Arial" w:cs="Arial"/>
          <w:sz w:val="22"/>
          <w:szCs w:val="22"/>
        </w:rPr>
        <w:t>Bancoldex</w:t>
      </w:r>
      <w:r w:rsidRPr="006609FA">
        <w:rPr>
          <w:rFonts w:ascii="Arial" w:hAnsi="Arial" w:cs="Arial"/>
          <w:sz w:val="22"/>
          <w:szCs w:val="22"/>
        </w:rPr>
        <w:t xml:space="preserve"> to:</w:t>
      </w:r>
    </w:p>
    <w:p w:rsidR="000A6CD4" w:rsidRPr="006609FA" w:rsidRDefault="000A6CD4" w:rsidP="000549BD">
      <w:pPr>
        <w:pStyle w:val="Default"/>
        <w:spacing w:after="120"/>
        <w:jc w:val="both"/>
        <w:rPr>
          <w:rFonts w:ascii="Arial" w:hAnsi="Arial" w:cs="Arial"/>
          <w:sz w:val="22"/>
          <w:szCs w:val="22"/>
        </w:rPr>
      </w:pPr>
      <w:r w:rsidRPr="006609FA">
        <w:rPr>
          <w:rFonts w:ascii="Arial" w:hAnsi="Arial" w:cs="Arial"/>
          <w:sz w:val="22"/>
          <w:szCs w:val="22"/>
        </w:rPr>
        <w:t>A. Throughout the Life of the Loan:</w:t>
      </w:r>
    </w:p>
    <w:p w:rsidR="0016132A" w:rsidRPr="006609FA" w:rsidRDefault="00595A5D" w:rsidP="00CE518B">
      <w:pPr>
        <w:pStyle w:val="Default"/>
        <w:numPr>
          <w:ilvl w:val="2"/>
          <w:numId w:val="1"/>
        </w:numPr>
        <w:tabs>
          <w:tab w:val="left" w:pos="1620"/>
        </w:tabs>
        <w:ind w:left="1440" w:hanging="360"/>
        <w:jc w:val="both"/>
        <w:rPr>
          <w:rFonts w:ascii="Arial" w:hAnsi="Arial" w:cs="Arial"/>
          <w:sz w:val="22"/>
          <w:szCs w:val="22"/>
        </w:rPr>
      </w:pPr>
      <w:r w:rsidRPr="006609FA">
        <w:rPr>
          <w:rFonts w:ascii="Arial" w:hAnsi="Arial" w:cs="Arial"/>
          <w:sz w:val="22"/>
          <w:szCs w:val="22"/>
        </w:rPr>
        <w:t xml:space="preserve">Comply with all applicable </w:t>
      </w:r>
      <w:r w:rsidR="0076256D" w:rsidRPr="006609FA">
        <w:rPr>
          <w:rFonts w:ascii="Arial" w:hAnsi="Arial" w:cs="Arial"/>
          <w:sz w:val="22"/>
          <w:szCs w:val="22"/>
        </w:rPr>
        <w:t>national</w:t>
      </w:r>
      <w:r w:rsidRPr="006609FA">
        <w:rPr>
          <w:rFonts w:ascii="Arial" w:hAnsi="Arial" w:cs="Arial"/>
          <w:sz w:val="22"/>
          <w:szCs w:val="22"/>
        </w:rPr>
        <w:t xml:space="preserve"> environmental, social, health and safety, and labor regulatory requirements, and in relation to the financing of sub-projects with IDB’s proceeds ensure that each sub-project complies with: (a) </w:t>
      </w:r>
      <w:r w:rsidR="00172CB2" w:rsidRPr="006609FA">
        <w:rPr>
          <w:rFonts w:ascii="Arial" w:hAnsi="Arial" w:cs="Arial"/>
          <w:sz w:val="22"/>
          <w:szCs w:val="22"/>
        </w:rPr>
        <w:t>Bancoldex</w:t>
      </w:r>
      <w:r w:rsidRPr="006609FA">
        <w:rPr>
          <w:rFonts w:ascii="Arial" w:hAnsi="Arial" w:cs="Arial"/>
          <w:sz w:val="22"/>
          <w:szCs w:val="22"/>
        </w:rPr>
        <w:t xml:space="preserve">´s Environmental and Social </w:t>
      </w:r>
      <w:r w:rsidR="00172CB2" w:rsidRPr="006609FA">
        <w:rPr>
          <w:rFonts w:ascii="Arial" w:hAnsi="Arial" w:cs="Arial"/>
          <w:sz w:val="22"/>
          <w:szCs w:val="22"/>
        </w:rPr>
        <w:t>Management System</w:t>
      </w:r>
      <w:r w:rsidR="00A476BE" w:rsidRPr="006609FA">
        <w:rPr>
          <w:rFonts w:ascii="Arial" w:hAnsi="Arial" w:cs="Arial"/>
          <w:sz w:val="22"/>
          <w:szCs w:val="22"/>
        </w:rPr>
        <w:t xml:space="preserve"> (independently from </w:t>
      </w:r>
      <w:r w:rsidR="0016132A" w:rsidRPr="006609FA">
        <w:rPr>
          <w:rFonts w:ascii="Arial" w:hAnsi="Arial" w:cs="Arial"/>
          <w:sz w:val="22"/>
          <w:szCs w:val="22"/>
        </w:rPr>
        <w:t xml:space="preserve">dollar-amount </w:t>
      </w:r>
      <w:r w:rsidR="00ED0FB6" w:rsidRPr="006609FA">
        <w:rPr>
          <w:rFonts w:ascii="Arial" w:hAnsi="Arial" w:cs="Arial"/>
          <w:sz w:val="22"/>
          <w:szCs w:val="22"/>
        </w:rPr>
        <w:t>financed</w:t>
      </w:r>
      <w:r w:rsidR="00A476BE" w:rsidRPr="006609FA">
        <w:rPr>
          <w:rFonts w:ascii="Arial" w:hAnsi="Arial" w:cs="Arial"/>
          <w:sz w:val="22"/>
          <w:szCs w:val="22"/>
        </w:rPr>
        <w:t>)</w:t>
      </w:r>
      <w:r w:rsidRPr="006609FA">
        <w:rPr>
          <w:rFonts w:ascii="Arial" w:hAnsi="Arial" w:cs="Arial"/>
          <w:sz w:val="22"/>
          <w:szCs w:val="22"/>
        </w:rPr>
        <w:t>; (b) in-country regulations; (c) the List of Excluded Activities</w:t>
      </w:r>
      <w:r w:rsidR="00A476BE" w:rsidRPr="006609FA">
        <w:rPr>
          <w:rFonts w:ascii="Arial" w:hAnsi="Arial" w:cs="Arial"/>
          <w:sz w:val="22"/>
          <w:szCs w:val="22"/>
        </w:rPr>
        <w:t xml:space="preserve"> (see Annex1)</w:t>
      </w:r>
      <w:r w:rsidRPr="006609FA">
        <w:rPr>
          <w:rFonts w:ascii="Arial" w:hAnsi="Arial" w:cs="Arial"/>
          <w:sz w:val="22"/>
          <w:szCs w:val="22"/>
        </w:rPr>
        <w:t>; (d) the Fundamental Princ</w:t>
      </w:r>
      <w:r w:rsidR="00A476BE" w:rsidRPr="006609FA">
        <w:rPr>
          <w:rFonts w:ascii="Arial" w:hAnsi="Arial" w:cs="Arial"/>
          <w:sz w:val="22"/>
          <w:szCs w:val="22"/>
        </w:rPr>
        <w:t>iples of the Rights at Work</w:t>
      </w:r>
      <w:r w:rsidRPr="006609FA">
        <w:rPr>
          <w:rFonts w:ascii="Arial" w:hAnsi="Arial" w:cs="Arial"/>
          <w:sz w:val="22"/>
          <w:szCs w:val="22"/>
        </w:rPr>
        <w:t>.</w:t>
      </w:r>
      <w:r w:rsidR="00CE518B" w:rsidRPr="006609FA">
        <w:rPr>
          <w:rFonts w:ascii="Arial" w:hAnsi="Arial" w:cs="Arial"/>
          <w:sz w:val="22"/>
          <w:szCs w:val="22"/>
        </w:rPr>
        <w:t xml:space="preserve"> </w:t>
      </w:r>
    </w:p>
    <w:p w:rsidR="00CE518B" w:rsidRPr="006609FA" w:rsidRDefault="00A476BE" w:rsidP="00CE518B">
      <w:pPr>
        <w:pStyle w:val="Default"/>
        <w:numPr>
          <w:ilvl w:val="2"/>
          <w:numId w:val="1"/>
        </w:numPr>
        <w:tabs>
          <w:tab w:val="left" w:pos="1620"/>
        </w:tabs>
        <w:ind w:left="1440" w:hanging="360"/>
        <w:jc w:val="both"/>
        <w:rPr>
          <w:rFonts w:ascii="Arial" w:hAnsi="Arial" w:cs="Arial"/>
          <w:sz w:val="22"/>
          <w:szCs w:val="22"/>
        </w:rPr>
      </w:pPr>
      <w:r w:rsidRPr="006609FA">
        <w:rPr>
          <w:rFonts w:ascii="Arial" w:hAnsi="Arial" w:cs="Arial"/>
          <w:sz w:val="22"/>
          <w:szCs w:val="22"/>
        </w:rPr>
        <w:t xml:space="preserve">For the </w:t>
      </w:r>
      <w:r w:rsidR="0016132A" w:rsidRPr="006609FA">
        <w:rPr>
          <w:rFonts w:ascii="Arial" w:hAnsi="Arial" w:cs="Arial"/>
          <w:sz w:val="22"/>
          <w:szCs w:val="22"/>
        </w:rPr>
        <w:t xml:space="preserve">specific renewable energy projects and the </w:t>
      </w:r>
      <w:r w:rsidRPr="006609FA">
        <w:rPr>
          <w:rFonts w:ascii="Arial" w:hAnsi="Arial" w:cs="Arial"/>
          <w:sz w:val="22"/>
          <w:szCs w:val="22"/>
        </w:rPr>
        <w:t xml:space="preserve">application of the ESMS, </w:t>
      </w:r>
      <w:r w:rsidR="0016132A" w:rsidRPr="006609FA">
        <w:rPr>
          <w:rFonts w:ascii="Arial" w:hAnsi="Arial" w:cs="Arial"/>
          <w:sz w:val="22"/>
          <w:szCs w:val="22"/>
        </w:rPr>
        <w:t>develop with IDB’s assistance</w:t>
      </w:r>
      <w:r w:rsidR="00AD0C7E" w:rsidRPr="006609FA">
        <w:rPr>
          <w:rFonts w:ascii="Arial" w:hAnsi="Arial" w:cs="Arial"/>
          <w:sz w:val="22"/>
          <w:szCs w:val="22"/>
        </w:rPr>
        <w:t xml:space="preserve"> and provision of training</w:t>
      </w:r>
      <w:r w:rsidR="0016132A" w:rsidRPr="006609FA">
        <w:rPr>
          <w:rFonts w:ascii="Arial" w:hAnsi="Arial" w:cs="Arial"/>
          <w:sz w:val="22"/>
          <w:szCs w:val="22"/>
        </w:rPr>
        <w:t xml:space="preserve"> </w:t>
      </w:r>
      <w:r w:rsidRPr="006609FA">
        <w:rPr>
          <w:rFonts w:ascii="Arial" w:hAnsi="Arial" w:cs="Arial"/>
          <w:sz w:val="22"/>
          <w:szCs w:val="22"/>
        </w:rPr>
        <w:t>adequate screening form</w:t>
      </w:r>
      <w:r w:rsidR="0016132A" w:rsidRPr="006609FA">
        <w:rPr>
          <w:rFonts w:ascii="Arial" w:hAnsi="Arial" w:cs="Arial"/>
          <w:sz w:val="22"/>
          <w:szCs w:val="22"/>
        </w:rPr>
        <w:t>(</w:t>
      </w:r>
      <w:r w:rsidRPr="006609FA">
        <w:rPr>
          <w:rFonts w:ascii="Arial" w:hAnsi="Arial" w:cs="Arial"/>
          <w:sz w:val="22"/>
          <w:szCs w:val="22"/>
        </w:rPr>
        <w:t>s</w:t>
      </w:r>
      <w:r w:rsidR="0016132A" w:rsidRPr="006609FA">
        <w:rPr>
          <w:rFonts w:ascii="Arial" w:hAnsi="Arial" w:cs="Arial"/>
          <w:sz w:val="22"/>
          <w:szCs w:val="22"/>
        </w:rPr>
        <w:t>)</w:t>
      </w:r>
      <w:r w:rsidRPr="006609FA">
        <w:rPr>
          <w:rFonts w:ascii="Arial" w:hAnsi="Arial" w:cs="Arial"/>
          <w:sz w:val="22"/>
          <w:szCs w:val="22"/>
        </w:rPr>
        <w:t xml:space="preserve"> </w:t>
      </w:r>
      <w:r w:rsidR="0016132A" w:rsidRPr="006609FA">
        <w:rPr>
          <w:rFonts w:ascii="Arial" w:hAnsi="Arial" w:cs="Arial"/>
          <w:sz w:val="22"/>
          <w:szCs w:val="22"/>
        </w:rPr>
        <w:t>to assess specific environmental and social impacts.  Bancoldex will implement these form(s) prior to the financing of the first sub-project</w:t>
      </w:r>
      <w:r w:rsidR="00CE518B" w:rsidRPr="006609FA">
        <w:rPr>
          <w:rFonts w:ascii="Arial" w:hAnsi="Arial" w:cs="Arial"/>
          <w:sz w:val="22"/>
          <w:szCs w:val="22"/>
        </w:rPr>
        <w:t xml:space="preserve">. </w:t>
      </w:r>
      <w:r w:rsidR="00ED0FB6" w:rsidRPr="006609FA">
        <w:rPr>
          <w:rFonts w:ascii="Arial" w:hAnsi="Arial" w:cs="Arial"/>
          <w:sz w:val="22"/>
          <w:szCs w:val="22"/>
        </w:rPr>
        <w:t>Those forms will integrate the verification of the possession of the relevant permits and compliance with the Public Consultation regulation. In the case of biomass projects, the forms will included a screening of potential risks in the supply chain (risk of d</w:t>
      </w:r>
      <w:r w:rsidR="00B94F95" w:rsidRPr="006609FA">
        <w:rPr>
          <w:rFonts w:ascii="Arial" w:hAnsi="Arial" w:cs="Arial"/>
          <w:sz w:val="22"/>
          <w:szCs w:val="22"/>
        </w:rPr>
        <w:t xml:space="preserve">eforestation </w:t>
      </w:r>
      <w:r w:rsidR="00390673" w:rsidRPr="006609FA">
        <w:rPr>
          <w:rFonts w:ascii="Arial" w:hAnsi="Arial" w:cs="Arial"/>
          <w:sz w:val="22"/>
          <w:szCs w:val="22"/>
        </w:rPr>
        <w:t>and/</w:t>
      </w:r>
      <w:r w:rsidR="00B94F95" w:rsidRPr="006609FA">
        <w:rPr>
          <w:rFonts w:ascii="Arial" w:hAnsi="Arial" w:cs="Arial"/>
          <w:sz w:val="22"/>
          <w:szCs w:val="22"/>
        </w:rPr>
        <w:t>or land-use change).</w:t>
      </w:r>
      <w:r w:rsidR="00ED0FB6" w:rsidRPr="006609FA">
        <w:rPr>
          <w:rFonts w:ascii="Arial" w:hAnsi="Arial" w:cs="Arial"/>
          <w:sz w:val="22"/>
          <w:szCs w:val="22"/>
        </w:rPr>
        <w:t xml:space="preserve"> </w:t>
      </w:r>
    </w:p>
    <w:p w:rsidR="00041C40" w:rsidRPr="006609FA" w:rsidRDefault="00CE518B" w:rsidP="00041C40">
      <w:pPr>
        <w:pStyle w:val="Default"/>
        <w:numPr>
          <w:ilvl w:val="2"/>
          <w:numId w:val="1"/>
        </w:numPr>
        <w:tabs>
          <w:tab w:val="left" w:pos="1620"/>
        </w:tabs>
        <w:ind w:left="1440" w:hanging="360"/>
        <w:jc w:val="both"/>
        <w:rPr>
          <w:rFonts w:ascii="Arial" w:hAnsi="Arial" w:cs="Arial"/>
          <w:sz w:val="22"/>
          <w:szCs w:val="22"/>
        </w:rPr>
      </w:pPr>
      <w:r w:rsidRPr="006609FA">
        <w:rPr>
          <w:rFonts w:ascii="Arial" w:hAnsi="Arial" w:cs="Arial"/>
          <w:sz w:val="22"/>
          <w:szCs w:val="22"/>
        </w:rPr>
        <w:t>Whe</w:t>
      </w:r>
      <w:r w:rsidR="0016132A" w:rsidRPr="006609FA">
        <w:rPr>
          <w:rFonts w:ascii="Arial" w:hAnsi="Arial" w:cs="Arial"/>
          <w:sz w:val="22"/>
          <w:szCs w:val="22"/>
        </w:rPr>
        <w:t>re particular high risks are identified in the screening process</w:t>
      </w:r>
      <w:r w:rsidRPr="006609FA">
        <w:rPr>
          <w:rFonts w:ascii="Arial" w:hAnsi="Arial" w:cs="Arial"/>
          <w:sz w:val="22"/>
          <w:szCs w:val="22"/>
        </w:rPr>
        <w:t>, request a management plan of the identified risks and ensure that this request is legally binding</w:t>
      </w:r>
      <w:r w:rsidR="009124CE" w:rsidRPr="006609FA">
        <w:rPr>
          <w:rFonts w:ascii="Arial" w:hAnsi="Arial" w:cs="Arial"/>
          <w:sz w:val="22"/>
          <w:szCs w:val="22"/>
        </w:rPr>
        <w:t xml:space="preserve"> to the end-borrower</w:t>
      </w:r>
      <w:r w:rsidR="00172CB2" w:rsidRPr="006609FA">
        <w:rPr>
          <w:rFonts w:ascii="Arial" w:hAnsi="Arial" w:cs="Arial"/>
          <w:sz w:val="22"/>
          <w:szCs w:val="22"/>
        </w:rPr>
        <w:t>.</w:t>
      </w:r>
      <w:r w:rsidR="007A34E6" w:rsidRPr="006609FA">
        <w:rPr>
          <w:rFonts w:ascii="Arial" w:hAnsi="Arial" w:cs="Arial"/>
          <w:sz w:val="22"/>
          <w:szCs w:val="22"/>
        </w:rPr>
        <w:t xml:space="preserve">  Supervi</w:t>
      </w:r>
      <w:r w:rsidR="008F7FCD" w:rsidRPr="006609FA">
        <w:rPr>
          <w:rFonts w:ascii="Arial" w:hAnsi="Arial" w:cs="Arial"/>
          <w:sz w:val="22"/>
          <w:szCs w:val="22"/>
        </w:rPr>
        <w:t>se and monitor these management</w:t>
      </w:r>
      <w:r w:rsidR="007A34E6" w:rsidRPr="006609FA">
        <w:rPr>
          <w:rFonts w:ascii="Arial" w:hAnsi="Arial" w:cs="Arial"/>
          <w:sz w:val="22"/>
          <w:szCs w:val="22"/>
        </w:rPr>
        <w:t xml:space="preserve"> plans on a periodic basis, and prepare necessary summary reports.  Where necessary agree with the client to corrective actions if needed.</w:t>
      </w:r>
    </w:p>
    <w:p w:rsidR="006B7A68" w:rsidRPr="006609FA" w:rsidRDefault="006609FA" w:rsidP="00041C40">
      <w:pPr>
        <w:pStyle w:val="Default"/>
        <w:numPr>
          <w:ilvl w:val="2"/>
          <w:numId w:val="1"/>
        </w:numPr>
        <w:tabs>
          <w:tab w:val="left" w:pos="1620"/>
        </w:tabs>
        <w:ind w:left="1440" w:hanging="360"/>
        <w:jc w:val="both"/>
        <w:rPr>
          <w:rFonts w:ascii="Arial" w:hAnsi="Arial" w:cs="Arial"/>
          <w:sz w:val="22"/>
          <w:szCs w:val="22"/>
        </w:rPr>
      </w:pPr>
      <w:r w:rsidRPr="006609FA">
        <w:rPr>
          <w:rFonts w:ascii="Arial" w:hAnsi="Arial" w:cs="Arial"/>
          <w:sz w:val="22"/>
          <w:szCs w:val="22"/>
        </w:rPr>
        <w:t xml:space="preserve">Bancoldex will not finance Category A sub-projects under this line.  </w:t>
      </w:r>
      <w:r w:rsidR="006B7A68" w:rsidRPr="006609FA">
        <w:rPr>
          <w:rFonts w:ascii="Arial" w:hAnsi="Arial" w:cs="Arial"/>
          <w:sz w:val="22"/>
          <w:szCs w:val="22"/>
        </w:rPr>
        <w:t xml:space="preserve">The determination of a Category A sub-project will be </w:t>
      </w:r>
      <w:r w:rsidR="0056389E" w:rsidRPr="006609FA">
        <w:rPr>
          <w:rFonts w:ascii="Arial" w:hAnsi="Arial" w:cs="Arial"/>
          <w:sz w:val="22"/>
          <w:szCs w:val="22"/>
        </w:rPr>
        <w:t xml:space="preserve">based on particular triggers </w:t>
      </w:r>
      <w:r w:rsidR="0056389E" w:rsidRPr="006609FA">
        <w:rPr>
          <w:rFonts w:ascii="Arial" w:hAnsi="Arial" w:cs="Arial"/>
          <w:sz w:val="22"/>
          <w:szCs w:val="22"/>
        </w:rPr>
        <w:lastRenderedPageBreak/>
        <w:t xml:space="preserve">(deforestation, influence on critical natural habitat, significant social impact/opposition, etc.) and </w:t>
      </w:r>
      <w:r w:rsidR="006B7A68" w:rsidRPr="006609FA">
        <w:rPr>
          <w:rFonts w:ascii="Arial" w:hAnsi="Arial" w:cs="Arial"/>
          <w:sz w:val="22"/>
          <w:szCs w:val="22"/>
        </w:rPr>
        <w:t xml:space="preserve">incorporated into the above mentioned sector checklist.  </w:t>
      </w:r>
    </w:p>
    <w:p w:rsidR="00B94F95" w:rsidRPr="006609FA" w:rsidRDefault="00B94F95" w:rsidP="00041C40">
      <w:pPr>
        <w:pStyle w:val="Default"/>
        <w:numPr>
          <w:ilvl w:val="2"/>
          <w:numId w:val="1"/>
        </w:numPr>
        <w:tabs>
          <w:tab w:val="left" w:pos="1620"/>
        </w:tabs>
        <w:ind w:left="1440" w:hanging="360"/>
        <w:jc w:val="both"/>
        <w:rPr>
          <w:rFonts w:ascii="Arial" w:hAnsi="Arial" w:cs="Arial"/>
          <w:sz w:val="22"/>
          <w:szCs w:val="22"/>
        </w:rPr>
      </w:pPr>
      <w:r w:rsidRPr="006609FA">
        <w:rPr>
          <w:rFonts w:ascii="Arial" w:hAnsi="Arial" w:cs="Arial"/>
          <w:sz w:val="22"/>
          <w:szCs w:val="22"/>
        </w:rPr>
        <w:t xml:space="preserve">To avoid any GHG emissions leakage, a disposal protocol will be designed and implemented. Such protocol will be described in the Operating Manual designed for this Program. </w:t>
      </w:r>
    </w:p>
    <w:p w:rsidR="000A6CD4" w:rsidRPr="000549BD" w:rsidRDefault="00C54192" w:rsidP="000549BD">
      <w:pPr>
        <w:pStyle w:val="Default"/>
        <w:numPr>
          <w:ilvl w:val="2"/>
          <w:numId w:val="1"/>
        </w:numPr>
        <w:tabs>
          <w:tab w:val="left" w:pos="1620"/>
        </w:tabs>
        <w:spacing w:after="120"/>
        <w:ind w:left="1440" w:hanging="360"/>
        <w:jc w:val="both"/>
        <w:rPr>
          <w:rFonts w:ascii="Arial" w:hAnsi="Arial" w:cs="Arial"/>
          <w:sz w:val="22"/>
          <w:szCs w:val="22"/>
        </w:rPr>
      </w:pPr>
      <w:r w:rsidRPr="006609FA">
        <w:rPr>
          <w:rFonts w:ascii="Arial" w:hAnsi="Arial" w:cs="Arial"/>
          <w:sz w:val="22"/>
          <w:szCs w:val="22"/>
        </w:rPr>
        <w:t xml:space="preserve">Notify IDB </w:t>
      </w:r>
      <w:r w:rsidR="000A6CD4" w:rsidRPr="006609FA">
        <w:rPr>
          <w:rFonts w:ascii="Arial" w:hAnsi="Arial" w:cs="Arial"/>
          <w:sz w:val="22"/>
          <w:szCs w:val="22"/>
        </w:rPr>
        <w:t>within five days</w:t>
      </w:r>
      <w:r w:rsidRPr="006609FA">
        <w:rPr>
          <w:rFonts w:ascii="Arial" w:hAnsi="Arial" w:cs="Arial"/>
          <w:sz w:val="22"/>
          <w:szCs w:val="22"/>
        </w:rPr>
        <w:t xml:space="preserve"> in any instance of sub-project non-compliance </w:t>
      </w:r>
      <w:r w:rsidR="000A6CD4" w:rsidRPr="006609FA">
        <w:rPr>
          <w:rFonts w:ascii="Arial" w:hAnsi="Arial" w:cs="Arial"/>
          <w:sz w:val="22"/>
          <w:szCs w:val="22"/>
        </w:rPr>
        <w:t>with regard to any environmental, social, health and safety</w:t>
      </w:r>
      <w:r w:rsidRPr="006609FA">
        <w:rPr>
          <w:rFonts w:ascii="Arial" w:hAnsi="Arial" w:cs="Arial"/>
          <w:sz w:val="22"/>
          <w:szCs w:val="22"/>
        </w:rPr>
        <w:t xml:space="preserve"> issues, </w:t>
      </w:r>
      <w:r w:rsidR="000A6CD4" w:rsidRPr="006609FA">
        <w:rPr>
          <w:rFonts w:ascii="Arial" w:hAnsi="Arial" w:cs="Arial"/>
          <w:sz w:val="22"/>
          <w:szCs w:val="22"/>
        </w:rPr>
        <w:t>and Loan Agreement Requirements, agreed Action P</w:t>
      </w:r>
      <w:r w:rsidRPr="006609FA">
        <w:rPr>
          <w:rFonts w:ascii="Arial" w:hAnsi="Arial" w:cs="Arial"/>
          <w:sz w:val="22"/>
          <w:szCs w:val="22"/>
        </w:rPr>
        <w:t xml:space="preserve">lans, or other pertinent legal covenants.  </w:t>
      </w:r>
    </w:p>
    <w:p w:rsidR="000A6CD4" w:rsidRPr="006609FA" w:rsidRDefault="000A6CD4" w:rsidP="000549BD">
      <w:pPr>
        <w:pStyle w:val="Default"/>
        <w:tabs>
          <w:tab w:val="left" w:pos="1620"/>
        </w:tabs>
        <w:spacing w:after="120"/>
        <w:jc w:val="both"/>
        <w:rPr>
          <w:rFonts w:ascii="Arial" w:hAnsi="Arial" w:cs="Arial"/>
          <w:sz w:val="22"/>
          <w:szCs w:val="22"/>
        </w:rPr>
      </w:pPr>
      <w:r w:rsidRPr="006609FA">
        <w:rPr>
          <w:rFonts w:ascii="Arial" w:hAnsi="Arial" w:cs="Arial"/>
          <w:sz w:val="22"/>
          <w:szCs w:val="22"/>
        </w:rPr>
        <w:t>B. Prior to First Disbursement:</w:t>
      </w:r>
    </w:p>
    <w:p w:rsidR="000A6CD4" w:rsidRPr="000549BD" w:rsidRDefault="000A6CD4" w:rsidP="000549BD">
      <w:pPr>
        <w:pStyle w:val="Default"/>
        <w:numPr>
          <w:ilvl w:val="2"/>
          <w:numId w:val="33"/>
        </w:numPr>
        <w:tabs>
          <w:tab w:val="left" w:pos="1620"/>
        </w:tabs>
        <w:spacing w:after="120"/>
        <w:ind w:left="1454" w:hanging="547"/>
        <w:jc w:val="both"/>
        <w:rPr>
          <w:rFonts w:ascii="Arial" w:hAnsi="Arial" w:cs="Arial"/>
          <w:sz w:val="22"/>
          <w:szCs w:val="22"/>
        </w:rPr>
      </w:pPr>
      <w:r w:rsidRPr="000549BD">
        <w:rPr>
          <w:rFonts w:ascii="Arial" w:hAnsi="Arial" w:cs="Arial"/>
          <w:sz w:val="22"/>
          <w:szCs w:val="22"/>
        </w:rPr>
        <w:t xml:space="preserve">Implement the Operating Manual designed for this </w:t>
      </w:r>
      <w:r w:rsidR="00172CB2" w:rsidRPr="000549BD">
        <w:rPr>
          <w:rFonts w:ascii="Arial" w:hAnsi="Arial" w:cs="Arial"/>
          <w:sz w:val="22"/>
          <w:szCs w:val="22"/>
        </w:rPr>
        <w:t>Program</w:t>
      </w:r>
      <w:r w:rsidRPr="000549BD">
        <w:rPr>
          <w:rFonts w:ascii="Arial" w:hAnsi="Arial" w:cs="Arial"/>
          <w:sz w:val="22"/>
          <w:szCs w:val="22"/>
        </w:rPr>
        <w:t xml:space="preserve"> as a condition for first disbursement, and specifically apply the contractual conditions detailing particular environmental and social procedures and standards as defined within this ESMR.</w:t>
      </w:r>
    </w:p>
    <w:p w:rsidR="000A6CD4" w:rsidRPr="006609FA" w:rsidRDefault="000A6CD4" w:rsidP="000A6CD4">
      <w:pPr>
        <w:pStyle w:val="Default"/>
        <w:tabs>
          <w:tab w:val="left" w:pos="1620"/>
        </w:tabs>
        <w:jc w:val="both"/>
        <w:rPr>
          <w:rFonts w:ascii="Arial" w:hAnsi="Arial" w:cs="Arial"/>
          <w:sz w:val="22"/>
          <w:szCs w:val="22"/>
        </w:rPr>
      </w:pPr>
      <w:r w:rsidRPr="006609FA">
        <w:rPr>
          <w:rFonts w:ascii="Arial" w:hAnsi="Arial" w:cs="Arial"/>
          <w:sz w:val="22"/>
          <w:szCs w:val="22"/>
        </w:rPr>
        <w:t>C. Reporting, Monitoring and Supervision</w:t>
      </w:r>
      <w:r w:rsidR="000549BD">
        <w:rPr>
          <w:rFonts w:ascii="Arial" w:hAnsi="Arial" w:cs="Arial"/>
          <w:sz w:val="22"/>
          <w:szCs w:val="22"/>
        </w:rPr>
        <w:t>:</w:t>
      </w:r>
    </w:p>
    <w:p w:rsidR="00191308" w:rsidRPr="006609FA" w:rsidRDefault="00191308" w:rsidP="00191308">
      <w:pPr>
        <w:pStyle w:val="Paragraph"/>
        <w:numPr>
          <w:ilvl w:val="1"/>
          <w:numId w:val="1"/>
        </w:numPr>
        <w:ind w:hanging="990"/>
        <w:rPr>
          <w:rFonts w:ascii="Arial" w:hAnsi="Arial" w:cs="Arial"/>
          <w:color w:val="000000"/>
          <w:sz w:val="22"/>
          <w:szCs w:val="22"/>
          <w:lang w:val="en-US"/>
        </w:rPr>
      </w:pPr>
      <w:r w:rsidRPr="006609FA">
        <w:rPr>
          <w:rFonts w:ascii="Arial" w:hAnsi="Arial" w:cs="Arial"/>
          <w:color w:val="000000"/>
          <w:sz w:val="22"/>
          <w:szCs w:val="22"/>
          <w:lang w:val="en-US"/>
        </w:rPr>
        <w:t xml:space="preserve">During the life of the Loan Agreement, </w:t>
      </w:r>
      <w:r w:rsidR="00172CB2" w:rsidRPr="006609FA">
        <w:rPr>
          <w:rFonts w:ascii="Arial" w:hAnsi="Arial" w:cs="Arial"/>
          <w:color w:val="000000"/>
          <w:sz w:val="22"/>
          <w:szCs w:val="22"/>
          <w:lang w:val="en-US"/>
        </w:rPr>
        <w:t>Bancoldex</w:t>
      </w:r>
      <w:r w:rsidRPr="006609FA">
        <w:rPr>
          <w:rFonts w:ascii="Arial" w:hAnsi="Arial" w:cs="Arial"/>
          <w:color w:val="000000"/>
          <w:sz w:val="22"/>
          <w:szCs w:val="22"/>
          <w:lang w:val="en-US"/>
        </w:rPr>
        <w:t xml:space="preserve"> </w:t>
      </w:r>
      <w:r w:rsidR="00D14CED" w:rsidRPr="006609FA">
        <w:rPr>
          <w:rFonts w:ascii="Arial" w:hAnsi="Arial" w:cs="Arial"/>
          <w:color w:val="000000"/>
          <w:sz w:val="22"/>
          <w:szCs w:val="22"/>
          <w:lang w:val="en-US"/>
        </w:rPr>
        <w:t>will</w:t>
      </w:r>
      <w:r w:rsidRPr="006609FA">
        <w:rPr>
          <w:rFonts w:ascii="Arial" w:hAnsi="Arial" w:cs="Arial"/>
          <w:color w:val="000000"/>
          <w:sz w:val="22"/>
          <w:szCs w:val="22"/>
          <w:lang w:val="en-US"/>
        </w:rPr>
        <w:t xml:space="preserve"> prepare and submit an Environmental and Social Compliance Report (ESCR), in form, content and frequency acceptable to IDB. This is expected to be annual, and include a list of individual investments each with their environmental and social impact and risk categorization, a summary of key impact and risk issues identified during screening, a summary of mitigation measures agreed, as well as the status of compliance with these mitigation measures (for those projects that have moved into execution/supervision), and/or status of compliance with a CAP (if any). </w:t>
      </w:r>
    </w:p>
    <w:p w:rsidR="00191308" w:rsidRPr="006609FA" w:rsidRDefault="00191308" w:rsidP="00191308">
      <w:pPr>
        <w:pStyle w:val="Paragraph"/>
        <w:numPr>
          <w:ilvl w:val="1"/>
          <w:numId w:val="1"/>
        </w:numPr>
        <w:ind w:hanging="990"/>
        <w:rPr>
          <w:rFonts w:ascii="Arial" w:hAnsi="Arial" w:cs="Arial"/>
          <w:color w:val="000000"/>
          <w:sz w:val="22"/>
          <w:szCs w:val="22"/>
          <w:lang w:val="en-US"/>
        </w:rPr>
      </w:pPr>
      <w:r w:rsidRPr="006609FA">
        <w:rPr>
          <w:rFonts w:ascii="Arial" w:hAnsi="Arial" w:cs="Arial"/>
          <w:color w:val="000000"/>
          <w:sz w:val="22"/>
          <w:szCs w:val="22"/>
          <w:lang w:val="en-US"/>
        </w:rPr>
        <w:t xml:space="preserve">The IDB will supervise the environmental, social, health and safety, and labor aspects related to the use of the proceeds of the </w:t>
      </w:r>
      <w:r w:rsidR="00172CB2" w:rsidRPr="006609FA">
        <w:rPr>
          <w:rFonts w:ascii="Arial" w:hAnsi="Arial" w:cs="Arial"/>
          <w:color w:val="000000"/>
          <w:sz w:val="22"/>
          <w:szCs w:val="22"/>
          <w:lang w:val="en-US"/>
        </w:rPr>
        <w:t>Program</w:t>
      </w:r>
      <w:r w:rsidRPr="006609FA">
        <w:rPr>
          <w:rFonts w:ascii="Arial" w:hAnsi="Arial" w:cs="Arial"/>
          <w:color w:val="000000"/>
          <w:sz w:val="22"/>
          <w:szCs w:val="22"/>
          <w:lang w:val="en-US"/>
        </w:rPr>
        <w:t xml:space="preserve"> semi-annually/annually. This supervision will be conducted by an in-house specialist (and as needed, with the assistance of an external independent environmental and social consultant). </w:t>
      </w:r>
    </w:p>
    <w:p w:rsidR="00C608D5" w:rsidRPr="006609FA" w:rsidRDefault="00C608D5" w:rsidP="00C608D5">
      <w:pPr>
        <w:pStyle w:val="Paragraph"/>
        <w:tabs>
          <w:tab w:val="clear" w:pos="720"/>
        </w:tabs>
        <w:rPr>
          <w:rFonts w:ascii="Arial" w:hAnsi="Arial" w:cs="Arial"/>
          <w:sz w:val="22"/>
          <w:szCs w:val="22"/>
          <w:lang w:val="en-US"/>
        </w:rPr>
      </w:pPr>
    </w:p>
    <w:p w:rsidR="009124CE" w:rsidRPr="006609FA" w:rsidRDefault="009124CE">
      <w:pPr>
        <w:rPr>
          <w:rFonts w:ascii="Arial" w:eastAsia="Times New Roman" w:hAnsi="Arial" w:cs="Arial"/>
        </w:rPr>
      </w:pPr>
      <w:r w:rsidRPr="006609FA">
        <w:rPr>
          <w:rFonts w:ascii="Arial" w:eastAsia="Times New Roman" w:hAnsi="Arial" w:cs="Arial"/>
        </w:rPr>
        <w:br w:type="page"/>
      </w:r>
    </w:p>
    <w:p w:rsidR="00C608D5" w:rsidRPr="000549BD" w:rsidRDefault="009124CE" w:rsidP="000549BD">
      <w:pPr>
        <w:tabs>
          <w:tab w:val="left" w:pos="810"/>
        </w:tabs>
        <w:suppressAutoHyphens/>
        <w:autoSpaceDN w:val="0"/>
        <w:spacing w:before="120" w:after="120" w:line="240" w:lineRule="auto"/>
        <w:jc w:val="center"/>
        <w:textAlignment w:val="baseline"/>
        <w:outlineLvl w:val="1"/>
        <w:rPr>
          <w:rFonts w:ascii="Arial" w:eastAsia="Times New Roman" w:hAnsi="Arial" w:cs="Arial"/>
          <w:b/>
          <w:lang w:val="fr-FR"/>
        </w:rPr>
      </w:pPr>
      <w:r w:rsidRPr="000549BD">
        <w:rPr>
          <w:rFonts w:ascii="Arial" w:eastAsia="Times New Roman" w:hAnsi="Arial" w:cs="Arial"/>
          <w:b/>
          <w:lang w:val="fr-FR"/>
        </w:rPr>
        <w:lastRenderedPageBreak/>
        <w:t xml:space="preserve">Annex 1. Exclusion </w:t>
      </w:r>
      <w:r w:rsidR="00B94F95" w:rsidRPr="000549BD">
        <w:rPr>
          <w:rFonts w:ascii="Arial" w:eastAsia="Times New Roman" w:hAnsi="Arial" w:cs="Arial"/>
          <w:b/>
          <w:lang w:val="fr-FR"/>
        </w:rPr>
        <w:t>List</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Those that are illegal under host country laws, regulations or ratified international conventions and agreements</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themeColor="text1"/>
        </w:rPr>
      </w:pPr>
      <w:r w:rsidRPr="006609FA">
        <w:rPr>
          <w:rFonts w:ascii="Arial" w:eastAsia="Times New Roman" w:hAnsi="Arial" w:cs="Arial"/>
          <w:color w:val="000000" w:themeColor="text1"/>
        </w:rPr>
        <w:t xml:space="preserve">Weapons and ammunitions </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themeColor="text1"/>
        </w:rPr>
      </w:pPr>
      <w:r w:rsidRPr="006609FA">
        <w:rPr>
          <w:rFonts w:ascii="Arial" w:eastAsia="Times New Roman" w:hAnsi="Arial" w:cs="Arial"/>
          <w:color w:val="000000" w:themeColor="text1"/>
        </w:rPr>
        <w:t>Tobacco</w:t>
      </w:r>
      <w:r w:rsidRPr="006609FA">
        <w:rPr>
          <w:rFonts w:ascii="Arial" w:eastAsia="Times New Roman" w:hAnsi="Arial" w:cs="Arial"/>
          <w:color w:val="000000" w:themeColor="text1"/>
          <w:vertAlign w:val="superscript"/>
        </w:rPr>
        <w:footnoteReference w:id="2"/>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rPr>
      </w:pPr>
      <w:r w:rsidRPr="006609FA">
        <w:rPr>
          <w:rFonts w:ascii="Arial" w:eastAsia="Times New Roman" w:hAnsi="Arial" w:cs="Arial"/>
        </w:rPr>
        <w:t>Gambling, casinos and equivalent enterprises</w:t>
      </w:r>
      <w:r w:rsidRPr="006609FA">
        <w:rPr>
          <w:rFonts w:ascii="Arial" w:eastAsia="Times New Roman" w:hAnsi="Arial" w:cs="Arial"/>
          <w:vertAlign w:val="superscript"/>
        </w:rPr>
        <w:footnoteReference w:id="3"/>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Wildlife or wildlife products regulated under Convention on International Trade in Endangered Species of Wild Fauna and Flora (CITES)</w:t>
      </w:r>
      <w:r w:rsidRPr="006609FA">
        <w:rPr>
          <w:rFonts w:ascii="Arial" w:eastAsia="Times New Roman" w:hAnsi="Arial" w:cs="Arial"/>
          <w:color w:val="000000"/>
          <w:vertAlign w:val="superscript"/>
        </w:rPr>
        <w:footnoteReference w:id="4"/>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Radioactive materials</w:t>
      </w:r>
      <w:r w:rsidRPr="006609FA">
        <w:rPr>
          <w:rFonts w:ascii="Arial" w:eastAsia="Times New Roman" w:hAnsi="Arial" w:cs="Arial"/>
          <w:color w:val="000000"/>
          <w:vertAlign w:val="superscript"/>
        </w:rPr>
        <w:footnoteReference w:id="5"/>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Unbonded asbestos fibers</w:t>
      </w:r>
      <w:r w:rsidRPr="006609FA">
        <w:rPr>
          <w:rFonts w:ascii="Arial" w:eastAsia="Times New Roman" w:hAnsi="Arial" w:cs="Arial"/>
          <w:color w:val="000000"/>
          <w:vertAlign w:val="superscript"/>
        </w:rPr>
        <w:footnoteReference w:id="6"/>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Forestry projects or operations that are not consistent with the IDB’s Environment and Safeguards Compliance Policy</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Polychlorinated biphenyl compounds (PCBs)</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Pharmaceuticals subject to international phase outs or bans</w:t>
      </w:r>
      <w:r w:rsidRPr="006609FA">
        <w:rPr>
          <w:rFonts w:ascii="Arial" w:eastAsia="Times New Roman" w:hAnsi="Arial" w:cs="Arial"/>
          <w:color w:val="000000"/>
          <w:vertAlign w:val="superscript"/>
        </w:rPr>
        <w:footnoteReference w:id="7"/>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Pesticides/herbicides subject to international phase outs or bans</w:t>
      </w:r>
      <w:r w:rsidRPr="006609FA">
        <w:rPr>
          <w:rFonts w:ascii="Arial" w:eastAsia="Times New Roman" w:hAnsi="Arial" w:cs="Arial"/>
          <w:color w:val="000000"/>
          <w:vertAlign w:val="superscript"/>
        </w:rPr>
        <w:footnoteReference w:id="8"/>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Ozone depleting substances subject to international phase out</w:t>
      </w:r>
      <w:r w:rsidRPr="006609FA">
        <w:rPr>
          <w:rFonts w:ascii="Arial" w:eastAsia="Times New Roman" w:hAnsi="Arial" w:cs="Arial"/>
          <w:color w:val="000000"/>
          <w:vertAlign w:val="superscript"/>
        </w:rPr>
        <w:footnoteReference w:id="9"/>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Drift net fishing in the marine environment using nets in excess of 2.5 km. in length</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Transboundary trade in waste or waste products</w:t>
      </w:r>
      <w:r w:rsidRPr="006609FA">
        <w:rPr>
          <w:rFonts w:ascii="Arial" w:eastAsia="Times New Roman" w:hAnsi="Arial" w:cs="Arial"/>
          <w:vertAlign w:val="superscript"/>
        </w:rPr>
        <w:footnoteReference w:id="10"/>
      </w:r>
      <w:r w:rsidRPr="006609FA">
        <w:rPr>
          <w:rFonts w:ascii="Arial" w:eastAsia="Times New Roman" w:hAnsi="Arial" w:cs="Arial"/>
          <w:color w:val="000000"/>
        </w:rPr>
        <w:t>, except for non-hazardous waste destined for recycling</w:t>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Persistent Organic Pollutants (POPs)</w:t>
      </w:r>
      <w:r w:rsidRPr="006609FA">
        <w:rPr>
          <w:rFonts w:ascii="Arial" w:eastAsia="Times New Roman" w:hAnsi="Arial" w:cs="Arial"/>
          <w:vertAlign w:val="superscript"/>
        </w:rPr>
        <w:footnoteReference w:id="11"/>
      </w:r>
    </w:p>
    <w:p w:rsidR="00002EBE" w:rsidRPr="006609FA" w:rsidRDefault="00002EBE" w:rsidP="00002EBE">
      <w:pPr>
        <w:numPr>
          <w:ilvl w:val="0"/>
          <w:numId w:val="37"/>
        </w:numPr>
        <w:autoSpaceDE w:val="0"/>
        <w:autoSpaceDN w:val="0"/>
        <w:adjustRightInd w:val="0"/>
        <w:spacing w:after="0" w:line="240" w:lineRule="auto"/>
        <w:jc w:val="both"/>
        <w:rPr>
          <w:rFonts w:ascii="Arial" w:eastAsia="Times New Roman" w:hAnsi="Arial" w:cs="Arial"/>
          <w:color w:val="000000"/>
        </w:rPr>
      </w:pPr>
      <w:r w:rsidRPr="006609FA">
        <w:rPr>
          <w:rFonts w:ascii="Arial" w:eastAsia="Times New Roman" w:hAnsi="Arial" w:cs="Arial"/>
          <w:color w:val="000000"/>
        </w:rPr>
        <w:t>Non-compliance with workers fundamental principles and rights at work</w:t>
      </w:r>
      <w:r w:rsidRPr="006609FA">
        <w:rPr>
          <w:rFonts w:ascii="Arial" w:eastAsia="Times New Roman" w:hAnsi="Arial" w:cs="Arial"/>
          <w:color w:val="000000"/>
          <w:vertAlign w:val="superscript"/>
        </w:rPr>
        <w:footnoteReference w:id="12"/>
      </w:r>
    </w:p>
    <w:p w:rsidR="008F7FCD" w:rsidRPr="006609FA" w:rsidRDefault="008F7FCD" w:rsidP="00772A62">
      <w:pPr>
        <w:tabs>
          <w:tab w:val="left" w:pos="810"/>
        </w:tabs>
        <w:suppressAutoHyphens/>
        <w:autoSpaceDN w:val="0"/>
        <w:spacing w:before="120" w:after="120" w:line="240" w:lineRule="auto"/>
        <w:jc w:val="both"/>
        <w:textAlignment w:val="baseline"/>
        <w:outlineLvl w:val="1"/>
        <w:rPr>
          <w:rFonts w:ascii="Arial" w:eastAsia="Times New Roman" w:hAnsi="Arial" w:cs="Arial"/>
        </w:rPr>
      </w:pPr>
      <w:r w:rsidRPr="006609FA">
        <w:rPr>
          <w:rFonts w:ascii="Arial" w:eastAsia="Times New Roman" w:hAnsi="Arial" w:cs="Arial"/>
        </w:rPr>
        <w:t>Additional exclusions include:</w:t>
      </w:r>
    </w:p>
    <w:p w:rsidR="009124CE" w:rsidRPr="006609FA" w:rsidRDefault="009124CE" w:rsidP="009124CE">
      <w:pPr>
        <w:pStyle w:val="ListParagraph"/>
        <w:numPr>
          <w:ilvl w:val="0"/>
          <w:numId w:val="36"/>
        </w:numPr>
        <w:tabs>
          <w:tab w:val="left" w:pos="810"/>
        </w:tabs>
        <w:suppressAutoHyphens/>
        <w:autoSpaceDN w:val="0"/>
        <w:spacing w:before="120" w:after="120" w:line="240" w:lineRule="auto"/>
        <w:jc w:val="both"/>
        <w:textAlignment w:val="baseline"/>
        <w:outlineLvl w:val="1"/>
        <w:rPr>
          <w:rFonts w:ascii="Arial" w:eastAsia="Times New Roman" w:hAnsi="Arial" w:cs="Arial"/>
        </w:rPr>
      </w:pPr>
      <w:r w:rsidRPr="006609FA">
        <w:rPr>
          <w:rFonts w:ascii="Arial" w:eastAsia="Times New Roman" w:hAnsi="Arial" w:cs="Arial"/>
        </w:rPr>
        <w:t>Projects that involve resettlement</w:t>
      </w:r>
    </w:p>
    <w:p w:rsidR="009124CE" w:rsidRPr="006609FA" w:rsidRDefault="008A43EC" w:rsidP="009124CE">
      <w:pPr>
        <w:pStyle w:val="ListParagraph"/>
        <w:numPr>
          <w:ilvl w:val="0"/>
          <w:numId w:val="36"/>
        </w:numPr>
        <w:tabs>
          <w:tab w:val="left" w:pos="810"/>
        </w:tabs>
        <w:suppressAutoHyphens/>
        <w:autoSpaceDN w:val="0"/>
        <w:spacing w:before="120" w:after="120" w:line="240" w:lineRule="auto"/>
        <w:jc w:val="both"/>
        <w:textAlignment w:val="baseline"/>
        <w:outlineLvl w:val="1"/>
        <w:rPr>
          <w:rFonts w:ascii="Arial" w:eastAsia="Times New Roman" w:hAnsi="Arial" w:cs="Arial"/>
        </w:rPr>
      </w:pPr>
      <w:r w:rsidRPr="006609FA">
        <w:rPr>
          <w:rFonts w:ascii="Arial" w:eastAsia="Times New Roman" w:hAnsi="Arial" w:cs="Arial"/>
        </w:rPr>
        <w:t xml:space="preserve">Biomass projects </w:t>
      </w:r>
      <w:r w:rsidR="009124CE" w:rsidRPr="006609FA">
        <w:rPr>
          <w:rFonts w:ascii="Arial" w:eastAsia="Times New Roman" w:hAnsi="Arial" w:cs="Arial"/>
        </w:rPr>
        <w:t xml:space="preserve">involving other </w:t>
      </w:r>
      <w:r w:rsidRPr="006609FA">
        <w:rPr>
          <w:rFonts w:ascii="Arial" w:eastAsia="Times New Roman" w:hAnsi="Arial" w:cs="Arial"/>
        </w:rPr>
        <w:t xml:space="preserve">resources </w:t>
      </w:r>
      <w:r w:rsidR="009124CE" w:rsidRPr="006609FA">
        <w:rPr>
          <w:rFonts w:ascii="Arial" w:eastAsia="Times New Roman" w:hAnsi="Arial" w:cs="Arial"/>
        </w:rPr>
        <w:t>than agricultural waste</w:t>
      </w:r>
    </w:p>
    <w:p w:rsidR="007A34E6" w:rsidRPr="000549BD" w:rsidRDefault="008A43EC" w:rsidP="000549BD">
      <w:pPr>
        <w:shd w:val="clear" w:color="auto" w:fill="FFFFFF" w:themeFill="background1"/>
        <w:tabs>
          <w:tab w:val="left" w:pos="810"/>
        </w:tabs>
        <w:suppressAutoHyphens/>
        <w:autoSpaceDN w:val="0"/>
        <w:spacing w:before="120" w:after="120" w:line="240" w:lineRule="auto"/>
        <w:jc w:val="center"/>
        <w:textAlignment w:val="baseline"/>
        <w:outlineLvl w:val="1"/>
        <w:rPr>
          <w:rFonts w:ascii="Arial" w:eastAsia="Times New Roman" w:hAnsi="Arial" w:cs="Arial"/>
          <w:b/>
        </w:rPr>
      </w:pPr>
      <w:r w:rsidRPr="000549BD">
        <w:rPr>
          <w:rFonts w:ascii="Arial" w:eastAsia="Times New Roman" w:hAnsi="Arial" w:cs="Arial"/>
          <w:b/>
        </w:rPr>
        <w:lastRenderedPageBreak/>
        <w:t>Annex 2</w:t>
      </w:r>
      <w:r w:rsidR="007A34E6" w:rsidRPr="000549BD">
        <w:rPr>
          <w:rFonts w:ascii="Arial" w:eastAsia="Times New Roman" w:hAnsi="Arial" w:cs="Arial"/>
          <w:b/>
        </w:rPr>
        <w:t xml:space="preserve"> – High Value Conservation Areas in Colombia (exclusion of sub-projects within these areas)</w:t>
      </w:r>
    </w:p>
    <w:p w:rsidR="007A34E6" w:rsidRPr="006609FA" w:rsidRDefault="007A34E6" w:rsidP="008A43EC">
      <w:pPr>
        <w:tabs>
          <w:tab w:val="left" w:pos="810"/>
        </w:tabs>
        <w:suppressAutoHyphens/>
        <w:autoSpaceDN w:val="0"/>
        <w:spacing w:before="120" w:after="120" w:line="240" w:lineRule="auto"/>
        <w:jc w:val="both"/>
        <w:textAlignment w:val="baseline"/>
        <w:outlineLvl w:val="1"/>
        <w:rPr>
          <w:rFonts w:ascii="Arial" w:eastAsia="Times New Roman" w:hAnsi="Arial" w:cs="Arial"/>
          <w:highlight w:val="yellow"/>
        </w:rPr>
      </w:pPr>
    </w:p>
    <w:p w:rsidR="008A43EC" w:rsidRPr="006609FA" w:rsidRDefault="007A34E6" w:rsidP="008A43EC">
      <w:pPr>
        <w:tabs>
          <w:tab w:val="left" w:pos="810"/>
        </w:tabs>
        <w:suppressAutoHyphens/>
        <w:autoSpaceDN w:val="0"/>
        <w:spacing w:before="120" w:after="120" w:line="240" w:lineRule="auto"/>
        <w:jc w:val="both"/>
        <w:textAlignment w:val="baseline"/>
        <w:outlineLvl w:val="1"/>
        <w:rPr>
          <w:rFonts w:ascii="Arial" w:eastAsia="Times New Roman" w:hAnsi="Arial" w:cs="Arial"/>
          <w:highlight w:val="yellow"/>
        </w:rPr>
      </w:pPr>
      <w:r w:rsidRPr="006609FA">
        <w:rPr>
          <w:rFonts w:ascii="Arial" w:hAnsi="Arial" w:cs="Arial"/>
          <w:noProof/>
        </w:rPr>
        <w:drawing>
          <wp:inline distT="0" distB="0" distL="0" distR="0" wp14:anchorId="6E9535FB" wp14:editId="6D44D026">
            <wp:extent cx="5407665" cy="75342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07665" cy="7534275"/>
                    </a:xfrm>
                    <a:prstGeom prst="rect">
                      <a:avLst/>
                    </a:prstGeom>
                  </pic:spPr>
                </pic:pic>
              </a:graphicData>
            </a:graphic>
          </wp:inline>
        </w:drawing>
      </w:r>
    </w:p>
    <w:p w:rsidR="00B94F95" w:rsidRPr="000549BD" w:rsidRDefault="00B94F95" w:rsidP="000549BD">
      <w:pPr>
        <w:tabs>
          <w:tab w:val="left" w:pos="810"/>
        </w:tabs>
        <w:suppressAutoHyphens/>
        <w:autoSpaceDN w:val="0"/>
        <w:spacing w:before="120" w:after="120" w:line="240" w:lineRule="auto"/>
        <w:jc w:val="center"/>
        <w:textAlignment w:val="baseline"/>
        <w:outlineLvl w:val="1"/>
        <w:rPr>
          <w:rFonts w:ascii="Arial" w:eastAsia="Times New Roman" w:hAnsi="Arial" w:cs="Arial"/>
        </w:rPr>
      </w:pPr>
      <w:r w:rsidRPr="000549BD">
        <w:rPr>
          <w:rFonts w:ascii="Arial" w:eastAsia="Times New Roman" w:hAnsi="Arial" w:cs="Arial"/>
          <w:b/>
        </w:rPr>
        <w:lastRenderedPageBreak/>
        <w:t>Annex 3 –</w:t>
      </w:r>
      <w:r w:rsidRPr="000549BD">
        <w:rPr>
          <w:rFonts w:ascii="Arial" w:eastAsia="Times New Roman" w:hAnsi="Arial" w:cs="Arial"/>
        </w:rPr>
        <w:t xml:space="preserve"> </w:t>
      </w:r>
      <w:r w:rsidRPr="000549BD">
        <w:rPr>
          <w:rFonts w:ascii="Arial" w:eastAsia="Times New Roman" w:hAnsi="Arial" w:cs="Arial"/>
          <w:b/>
        </w:rPr>
        <w:t>Colombian Legislation - Environmental Permits</w:t>
      </w:r>
    </w:p>
    <w:p w:rsidR="000549BD" w:rsidRDefault="000549BD" w:rsidP="000549BD">
      <w:pPr>
        <w:pStyle w:val="EndnoteText"/>
        <w:numPr>
          <w:ilvl w:val="0"/>
          <w:numId w:val="45"/>
        </w:numPr>
        <w:rPr>
          <w:rFonts w:ascii="Arial" w:eastAsia="Times New Roman" w:hAnsi="Arial" w:cs="Arial"/>
          <w:b/>
          <w:sz w:val="22"/>
          <w:szCs w:val="22"/>
        </w:rPr>
      </w:pPr>
      <w:r w:rsidRPr="000549BD">
        <w:rPr>
          <w:rFonts w:ascii="Arial" w:eastAsia="Times New Roman" w:hAnsi="Arial" w:cs="Arial"/>
          <w:b/>
          <w:sz w:val="22"/>
          <w:szCs w:val="22"/>
        </w:rPr>
        <w:t>Applicable permits</w:t>
      </w:r>
    </w:p>
    <w:tbl>
      <w:tblPr>
        <w:tblStyle w:val="TableGrid1"/>
        <w:tblpPr w:leftFromText="141" w:rightFromText="141" w:vertAnchor="page" w:horzAnchor="margin" w:tblpY="2101"/>
        <w:tblW w:w="9378" w:type="dxa"/>
        <w:shd w:val="clear" w:color="auto" w:fill="E6E6E6"/>
        <w:tblLook w:val="04A0" w:firstRow="1" w:lastRow="0" w:firstColumn="1" w:lastColumn="0" w:noHBand="0" w:noVBand="1"/>
      </w:tblPr>
      <w:tblGrid>
        <w:gridCol w:w="4878"/>
        <w:gridCol w:w="4500"/>
      </w:tblGrid>
      <w:tr w:rsidR="000549BD" w:rsidRPr="006609FA" w:rsidTr="000549BD">
        <w:trPr>
          <w:trHeight w:val="355"/>
        </w:trPr>
        <w:tc>
          <w:tcPr>
            <w:tcW w:w="4878" w:type="dxa"/>
            <w:shd w:val="clear" w:color="auto" w:fill="E6E6E6"/>
            <w:vAlign w:val="center"/>
          </w:tcPr>
          <w:p w:rsidR="000549BD" w:rsidRPr="006609FA" w:rsidRDefault="000549BD" w:rsidP="000549BD">
            <w:pPr>
              <w:ind w:left="30"/>
              <w:rPr>
                <w:rFonts w:ascii="Arial" w:hAnsi="Arial" w:cs="Arial"/>
                <w:b/>
              </w:rPr>
            </w:pPr>
            <w:r w:rsidRPr="006609FA">
              <w:rPr>
                <w:rFonts w:ascii="Arial" w:hAnsi="Arial" w:cs="Arial"/>
                <w:b/>
              </w:rPr>
              <w:t>Applicability</w:t>
            </w:r>
          </w:p>
        </w:tc>
        <w:tc>
          <w:tcPr>
            <w:tcW w:w="4500" w:type="dxa"/>
            <w:shd w:val="clear" w:color="auto" w:fill="E6E6E6"/>
            <w:vAlign w:val="center"/>
          </w:tcPr>
          <w:p w:rsidR="000549BD" w:rsidRPr="006609FA" w:rsidRDefault="000549BD" w:rsidP="000549BD">
            <w:pPr>
              <w:ind w:left="30"/>
              <w:rPr>
                <w:rFonts w:ascii="Arial" w:hAnsi="Arial" w:cs="Arial"/>
                <w:b/>
              </w:rPr>
            </w:pPr>
            <w:r w:rsidRPr="006609FA">
              <w:rPr>
                <w:rFonts w:ascii="Arial" w:hAnsi="Arial" w:cs="Arial"/>
                <w:b/>
              </w:rPr>
              <w:t>Source</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en-US" w:eastAsia="ja-JP"/>
              </w:rPr>
            </w:pPr>
            <w:r w:rsidRPr="006609FA">
              <w:rPr>
                <w:rFonts w:ascii="Arial" w:hAnsi="Arial" w:cs="Arial"/>
                <w:lang w:val="en-US" w:eastAsia="ja-JP"/>
              </w:rPr>
              <w:t xml:space="preserve">Surface water drainage, including rainwater storage and public water </w:t>
            </w:r>
          </w:p>
          <w:p w:rsidR="000549BD" w:rsidRPr="006609FA" w:rsidRDefault="000549BD" w:rsidP="000549BD">
            <w:pPr>
              <w:ind w:left="30"/>
              <w:rPr>
                <w:rFonts w:ascii="Arial" w:hAnsi="Arial" w:cs="Arial"/>
                <w:i/>
                <w:lang w:eastAsia="ja-JP"/>
              </w:rPr>
            </w:pPr>
            <w:r w:rsidRPr="006609FA">
              <w:rPr>
                <w:rFonts w:ascii="Arial" w:hAnsi="Arial" w:cs="Arial"/>
                <w:i/>
                <w:lang w:eastAsia="ja-JP"/>
              </w:rPr>
              <w:t>(“Concesión de aguas superficiales”)</w:t>
            </w:r>
          </w:p>
        </w:tc>
        <w:tc>
          <w:tcPr>
            <w:tcW w:w="4500" w:type="dxa"/>
          </w:tcPr>
          <w:p w:rsidR="000549BD" w:rsidRPr="006609FA" w:rsidRDefault="000549BD" w:rsidP="000549BD">
            <w:pPr>
              <w:rPr>
                <w:rFonts w:ascii="Arial" w:hAnsi="Arial" w:cs="Arial"/>
              </w:rPr>
            </w:pPr>
            <w:r w:rsidRPr="006609FA">
              <w:rPr>
                <w:rFonts w:ascii="Arial" w:hAnsi="Arial" w:cs="Arial"/>
              </w:rPr>
              <w:t>Decree 1076/2015</w:t>
            </w:r>
            <w:r w:rsidRPr="006609FA">
              <w:rPr>
                <w:rStyle w:val="EndnoteReference"/>
                <w:rFonts w:ascii="Arial" w:hAnsi="Arial" w:cs="Arial"/>
              </w:rPr>
              <w:endnoteReference w:id="1"/>
            </w:r>
            <w:r w:rsidRPr="006609FA">
              <w:rPr>
                <w:rFonts w:ascii="Arial" w:hAnsi="Arial" w:cs="Arial"/>
              </w:rPr>
              <w:t>, art. 2.2, 2.2.3.2.5.3., 2.2.3.2.16.2.</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en-US" w:eastAsia="ja-JP"/>
              </w:rPr>
            </w:pPr>
            <w:r w:rsidRPr="006609FA">
              <w:rPr>
                <w:rFonts w:ascii="Arial" w:hAnsi="Arial" w:cs="Arial"/>
                <w:lang w:val="en-US" w:eastAsia="ja-JP"/>
              </w:rPr>
              <w:t>Occupation of rivers (channel and riverbeds)</w:t>
            </w:r>
          </w:p>
          <w:p w:rsidR="000549BD" w:rsidRPr="006609FA" w:rsidRDefault="000549BD" w:rsidP="000549BD">
            <w:pPr>
              <w:ind w:left="30"/>
              <w:rPr>
                <w:rFonts w:ascii="Arial" w:hAnsi="Arial" w:cs="Arial"/>
                <w:i/>
                <w:lang w:eastAsia="ja-JP"/>
              </w:rPr>
            </w:pPr>
            <w:r w:rsidRPr="006609FA">
              <w:rPr>
                <w:rFonts w:ascii="Arial" w:hAnsi="Arial" w:cs="Arial"/>
                <w:i/>
                <w:lang w:eastAsia="ja-JP"/>
              </w:rPr>
              <w:t>(“Ocupación de cauces”)</w:t>
            </w:r>
          </w:p>
        </w:tc>
        <w:tc>
          <w:tcPr>
            <w:tcW w:w="4500" w:type="dxa"/>
          </w:tcPr>
          <w:p w:rsidR="000549BD" w:rsidRPr="006609FA" w:rsidRDefault="000549BD" w:rsidP="000549BD">
            <w:pPr>
              <w:pStyle w:val="Default"/>
              <w:rPr>
                <w:rFonts w:ascii="Arial" w:hAnsi="Arial" w:cs="Arial"/>
                <w:color w:val="auto"/>
                <w:sz w:val="22"/>
                <w:szCs w:val="22"/>
              </w:rPr>
            </w:pPr>
            <w:r w:rsidRPr="006609FA">
              <w:rPr>
                <w:rFonts w:ascii="Arial" w:hAnsi="Arial" w:cs="Arial"/>
                <w:sz w:val="22"/>
                <w:szCs w:val="22"/>
                <w:lang w:val="es-ES"/>
              </w:rPr>
              <w:t xml:space="preserve">Decree </w:t>
            </w:r>
            <w:r w:rsidRPr="006609FA">
              <w:rPr>
                <w:rFonts w:ascii="Arial" w:hAnsi="Arial" w:cs="Arial"/>
                <w:color w:val="auto"/>
                <w:sz w:val="22"/>
                <w:szCs w:val="22"/>
              </w:rPr>
              <w:t xml:space="preserve">1076/2015, art. </w:t>
            </w:r>
          </w:p>
          <w:p w:rsidR="000549BD" w:rsidRPr="006609FA" w:rsidRDefault="000549BD" w:rsidP="000549BD">
            <w:pPr>
              <w:pStyle w:val="Default"/>
              <w:rPr>
                <w:rFonts w:ascii="Arial" w:hAnsi="Arial" w:cs="Arial"/>
                <w:sz w:val="22"/>
                <w:szCs w:val="22"/>
              </w:rPr>
            </w:pPr>
            <w:r w:rsidRPr="006609FA">
              <w:rPr>
                <w:rFonts w:ascii="Arial" w:hAnsi="Arial" w:cs="Arial"/>
                <w:color w:val="auto"/>
                <w:sz w:val="22"/>
                <w:szCs w:val="22"/>
              </w:rPr>
              <w:t>2.2.3.3.5.8 and 2.2.2.3.5.1</w:t>
            </w:r>
          </w:p>
        </w:tc>
      </w:tr>
      <w:tr w:rsidR="000549BD" w:rsidRPr="006609FA" w:rsidTr="000549BD">
        <w:trPr>
          <w:trHeight w:val="680"/>
        </w:trPr>
        <w:tc>
          <w:tcPr>
            <w:tcW w:w="4878" w:type="dxa"/>
          </w:tcPr>
          <w:p w:rsidR="000549BD" w:rsidRPr="006609FA" w:rsidRDefault="000549BD" w:rsidP="000549BD">
            <w:pPr>
              <w:rPr>
                <w:rFonts w:ascii="Arial" w:hAnsi="Arial" w:cs="Arial"/>
                <w:lang w:val="es-ES" w:eastAsia="ja-JP"/>
              </w:rPr>
            </w:pPr>
            <w:r w:rsidRPr="006609FA">
              <w:rPr>
                <w:rFonts w:ascii="Arial" w:hAnsi="Arial" w:cs="Arial"/>
                <w:lang w:val="es-ES" w:eastAsia="ja-JP"/>
              </w:rPr>
              <w:t>Groundwater use</w:t>
            </w:r>
          </w:p>
          <w:p w:rsidR="000549BD" w:rsidRPr="006609FA" w:rsidRDefault="000549BD" w:rsidP="000549BD">
            <w:pPr>
              <w:rPr>
                <w:rFonts w:ascii="Arial" w:hAnsi="Arial" w:cs="Arial"/>
                <w:i/>
                <w:lang w:val="es-ES" w:eastAsia="ja-JP"/>
              </w:rPr>
            </w:pPr>
            <w:r w:rsidRPr="006609FA">
              <w:rPr>
                <w:rFonts w:ascii="Arial" w:hAnsi="Arial" w:cs="Arial"/>
                <w:i/>
                <w:lang w:val="es-ES" w:eastAsia="ja-JP"/>
              </w:rPr>
              <w:t>(“Permiso de prospección y explotación de aguas subterráneas”)</w:t>
            </w:r>
          </w:p>
        </w:tc>
        <w:tc>
          <w:tcPr>
            <w:tcW w:w="4500" w:type="dxa"/>
          </w:tcPr>
          <w:p w:rsidR="000549BD" w:rsidRPr="006609FA" w:rsidRDefault="000549BD" w:rsidP="000549BD">
            <w:pPr>
              <w:rPr>
                <w:rFonts w:ascii="Arial" w:hAnsi="Arial" w:cs="Arial"/>
              </w:rPr>
            </w:pPr>
            <w:r w:rsidRPr="006609FA">
              <w:rPr>
                <w:rFonts w:ascii="Arial" w:hAnsi="Arial" w:cs="Arial"/>
                <w:lang w:val="es-ES"/>
              </w:rPr>
              <w:t>Decree 1076/2015, art. 2</w:t>
            </w:r>
            <w:r w:rsidRPr="006609FA">
              <w:rPr>
                <w:rFonts w:ascii="Arial" w:hAnsi="Arial" w:cs="Arial"/>
              </w:rPr>
              <w:t>.2.3.2.16.1, 2.2.3.2.16.4 and 2.2.3.2.1</w:t>
            </w:r>
          </w:p>
        </w:tc>
      </w:tr>
      <w:tr w:rsidR="000549BD" w:rsidRPr="006609FA" w:rsidTr="000549BD">
        <w:trPr>
          <w:trHeight w:val="680"/>
        </w:trPr>
        <w:tc>
          <w:tcPr>
            <w:tcW w:w="4878" w:type="dxa"/>
          </w:tcPr>
          <w:p w:rsidR="000549BD" w:rsidRPr="006609FA" w:rsidRDefault="000549BD" w:rsidP="000549BD">
            <w:pPr>
              <w:ind w:left="30"/>
              <w:rPr>
                <w:rFonts w:ascii="Arial" w:hAnsi="Arial" w:cs="Arial"/>
                <w:lang w:eastAsia="ja-JP"/>
              </w:rPr>
            </w:pPr>
            <w:r w:rsidRPr="006609FA">
              <w:rPr>
                <w:rFonts w:ascii="Arial" w:hAnsi="Arial" w:cs="Arial"/>
                <w:lang w:eastAsia="ja-JP"/>
              </w:rPr>
              <w:t xml:space="preserve">Water discharges </w:t>
            </w:r>
          </w:p>
          <w:p w:rsidR="000549BD" w:rsidRPr="006609FA" w:rsidRDefault="000549BD" w:rsidP="000549BD">
            <w:pPr>
              <w:ind w:left="30"/>
              <w:rPr>
                <w:rFonts w:ascii="Arial" w:hAnsi="Arial" w:cs="Arial"/>
                <w:i/>
                <w:lang w:eastAsia="ja-JP"/>
              </w:rPr>
            </w:pPr>
            <w:r w:rsidRPr="006609FA">
              <w:rPr>
                <w:rFonts w:ascii="Arial" w:hAnsi="Arial" w:cs="Arial"/>
                <w:i/>
                <w:lang w:eastAsia="ja-JP"/>
              </w:rPr>
              <w:t>(“Permiso de Vertimientos”)</w:t>
            </w:r>
          </w:p>
        </w:tc>
        <w:tc>
          <w:tcPr>
            <w:tcW w:w="4500" w:type="dxa"/>
          </w:tcPr>
          <w:p w:rsidR="000549BD" w:rsidRPr="006609FA" w:rsidRDefault="000549BD" w:rsidP="000549BD">
            <w:pPr>
              <w:rPr>
                <w:rFonts w:ascii="Arial" w:hAnsi="Arial" w:cs="Arial"/>
              </w:rPr>
            </w:pPr>
            <w:r w:rsidRPr="006609FA">
              <w:rPr>
                <w:rFonts w:ascii="Arial" w:hAnsi="Arial" w:cs="Arial"/>
              </w:rPr>
              <w:t>Decree 1076/2015, art. 2.2.3.2.20.2 and 2.2.3.3.5.1</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es-ES" w:eastAsia="ja-JP"/>
              </w:rPr>
            </w:pPr>
            <w:r w:rsidRPr="006609FA">
              <w:rPr>
                <w:rFonts w:ascii="Arial" w:hAnsi="Arial" w:cs="Arial"/>
                <w:lang w:val="es-ES" w:eastAsia="ja-JP"/>
              </w:rPr>
              <w:t>Air emissions</w:t>
            </w:r>
          </w:p>
          <w:p w:rsidR="000549BD" w:rsidRPr="006609FA" w:rsidRDefault="000549BD" w:rsidP="000549BD">
            <w:pPr>
              <w:ind w:left="30"/>
              <w:rPr>
                <w:rFonts w:ascii="Arial" w:hAnsi="Arial" w:cs="Arial"/>
                <w:i/>
                <w:lang w:val="es-ES" w:eastAsia="ja-JP"/>
              </w:rPr>
            </w:pPr>
            <w:r w:rsidRPr="006609FA">
              <w:rPr>
                <w:rFonts w:ascii="Arial" w:hAnsi="Arial" w:cs="Arial"/>
                <w:i/>
                <w:lang w:val="es-ES" w:eastAsia="ja-JP"/>
              </w:rPr>
              <w:t>(</w:t>
            </w:r>
            <w:r w:rsidRPr="006609FA">
              <w:rPr>
                <w:rFonts w:ascii="Arial" w:hAnsi="Arial" w:cs="Arial"/>
                <w:i/>
              </w:rPr>
              <w:t>“</w:t>
            </w:r>
            <w:r w:rsidRPr="006609FA">
              <w:rPr>
                <w:rFonts w:ascii="Arial" w:hAnsi="Arial" w:cs="Arial"/>
                <w:i/>
                <w:lang w:val="es-ES" w:eastAsia="ja-JP"/>
              </w:rPr>
              <w:t>Permiso de emisiones atmosféricas”)</w:t>
            </w:r>
          </w:p>
        </w:tc>
        <w:tc>
          <w:tcPr>
            <w:tcW w:w="4500" w:type="dxa"/>
          </w:tcPr>
          <w:p w:rsidR="000549BD" w:rsidRPr="006609FA" w:rsidRDefault="000549BD" w:rsidP="000549BD">
            <w:pPr>
              <w:rPr>
                <w:rFonts w:ascii="Arial" w:hAnsi="Arial" w:cs="Arial"/>
              </w:rPr>
            </w:pPr>
            <w:r w:rsidRPr="006609FA">
              <w:rPr>
                <w:rFonts w:ascii="Arial" w:hAnsi="Arial" w:cs="Arial"/>
              </w:rPr>
              <w:t>Decree 1076/2015, art. 2.2.5.1.2.11 and 2.2.5.1.7.1</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pt-BR" w:eastAsia="ja-JP"/>
              </w:rPr>
            </w:pPr>
            <w:r w:rsidRPr="006609FA">
              <w:rPr>
                <w:rFonts w:ascii="Arial" w:hAnsi="Arial" w:cs="Arial"/>
                <w:lang w:val="pt-BR" w:eastAsia="ja-JP"/>
              </w:rPr>
              <w:t>Noise emissions</w:t>
            </w:r>
          </w:p>
          <w:p w:rsidR="000549BD" w:rsidRPr="006609FA" w:rsidRDefault="000549BD" w:rsidP="000549BD">
            <w:pPr>
              <w:ind w:left="30"/>
              <w:rPr>
                <w:rFonts w:ascii="Arial" w:hAnsi="Arial" w:cs="Arial"/>
                <w:i/>
                <w:lang w:val="pt-BR" w:eastAsia="ja-JP"/>
              </w:rPr>
            </w:pPr>
            <w:r w:rsidRPr="006609FA">
              <w:rPr>
                <w:rFonts w:ascii="Arial" w:hAnsi="Arial" w:cs="Arial"/>
                <w:i/>
                <w:lang w:val="pt-BR" w:eastAsia="ja-JP"/>
              </w:rPr>
              <w:t>(“Permiso de ruídos”)</w:t>
            </w:r>
          </w:p>
        </w:tc>
        <w:tc>
          <w:tcPr>
            <w:tcW w:w="4500" w:type="dxa"/>
          </w:tcPr>
          <w:p w:rsidR="000549BD" w:rsidRPr="006609FA" w:rsidRDefault="000549BD" w:rsidP="000549BD">
            <w:pPr>
              <w:rPr>
                <w:rFonts w:ascii="Arial" w:hAnsi="Arial" w:cs="Arial"/>
              </w:rPr>
            </w:pPr>
            <w:r w:rsidRPr="006609FA">
              <w:rPr>
                <w:rFonts w:ascii="Arial" w:hAnsi="Arial" w:cs="Arial"/>
              </w:rPr>
              <w:t>Decree 1076/2015, art. 2.2.5.1.7.17</w:t>
            </w:r>
          </w:p>
        </w:tc>
      </w:tr>
      <w:tr w:rsidR="000549BD" w:rsidRPr="006609FA" w:rsidTr="000549BD">
        <w:trPr>
          <w:trHeight w:val="680"/>
        </w:trPr>
        <w:tc>
          <w:tcPr>
            <w:tcW w:w="4878" w:type="dxa"/>
          </w:tcPr>
          <w:p w:rsidR="000549BD" w:rsidRPr="006609FA" w:rsidRDefault="000549BD" w:rsidP="000549BD">
            <w:pPr>
              <w:ind w:left="30"/>
              <w:rPr>
                <w:rFonts w:ascii="Arial" w:hAnsi="Arial" w:cs="Arial"/>
                <w:lang w:eastAsia="ja-JP"/>
              </w:rPr>
            </w:pPr>
            <w:r w:rsidRPr="006609FA">
              <w:rPr>
                <w:rFonts w:ascii="Arial" w:hAnsi="Arial" w:cs="Arial"/>
                <w:lang w:eastAsia="ja-JP"/>
              </w:rPr>
              <w:t>Forest Harvesting</w:t>
            </w:r>
          </w:p>
          <w:p w:rsidR="000549BD" w:rsidRPr="006609FA" w:rsidRDefault="000549BD" w:rsidP="000549BD">
            <w:pPr>
              <w:ind w:left="30"/>
              <w:rPr>
                <w:rFonts w:ascii="Arial" w:hAnsi="Arial" w:cs="Arial"/>
                <w:i/>
                <w:lang w:eastAsia="ja-JP"/>
              </w:rPr>
            </w:pPr>
            <w:r w:rsidRPr="006609FA">
              <w:rPr>
                <w:rFonts w:ascii="Arial" w:hAnsi="Arial" w:cs="Arial"/>
                <w:i/>
                <w:lang w:eastAsia="ja-JP"/>
              </w:rPr>
              <w:t>(“Permiso de aprovechamiento forestal”)</w:t>
            </w:r>
          </w:p>
        </w:tc>
        <w:tc>
          <w:tcPr>
            <w:tcW w:w="4500" w:type="dxa"/>
          </w:tcPr>
          <w:p w:rsidR="000549BD" w:rsidRPr="006609FA" w:rsidRDefault="000549BD" w:rsidP="000549BD">
            <w:pPr>
              <w:rPr>
                <w:rFonts w:ascii="Arial" w:hAnsi="Arial" w:cs="Arial"/>
              </w:rPr>
            </w:pPr>
            <w:r w:rsidRPr="006609FA">
              <w:rPr>
                <w:rFonts w:ascii="Arial" w:hAnsi="Arial" w:cs="Arial"/>
              </w:rPr>
              <w:t>Decree 1076/2015, art. 2.2.1.1.17.10 and 2.2.1.1.5.3</w:t>
            </w:r>
          </w:p>
        </w:tc>
      </w:tr>
      <w:tr w:rsidR="000549BD" w:rsidRPr="006609FA" w:rsidTr="000549BD">
        <w:trPr>
          <w:trHeight w:val="680"/>
        </w:trPr>
        <w:tc>
          <w:tcPr>
            <w:tcW w:w="4878" w:type="dxa"/>
          </w:tcPr>
          <w:p w:rsidR="000549BD" w:rsidRPr="006609FA" w:rsidRDefault="000549BD" w:rsidP="000549BD">
            <w:pPr>
              <w:ind w:left="30"/>
              <w:rPr>
                <w:rStyle w:val="Emphasis"/>
                <w:rFonts w:ascii="Arial" w:hAnsi="Arial" w:cs="Arial"/>
                <w:b/>
                <w:bCs/>
                <w:i w:val="0"/>
                <w:iCs w:val="0"/>
                <w:color w:val="6A6A6A"/>
                <w:shd w:val="clear" w:color="auto" w:fill="FFFFFF"/>
                <w:lang w:val="en-US"/>
              </w:rPr>
            </w:pPr>
            <w:r w:rsidRPr="006609FA">
              <w:rPr>
                <w:rFonts w:ascii="Arial" w:hAnsi="Arial" w:cs="Arial"/>
                <w:lang w:val="en-US" w:eastAsia="ja-JP"/>
              </w:rPr>
              <w:t>Harvesting of trees outside natural forest</w:t>
            </w:r>
          </w:p>
          <w:p w:rsidR="000549BD" w:rsidRPr="006609FA" w:rsidRDefault="000549BD" w:rsidP="000549BD">
            <w:pPr>
              <w:ind w:left="30"/>
              <w:rPr>
                <w:rFonts w:ascii="Arial" w:hAnsi="Arial" w:cs="Arial"/>
                <w:lang w:eastAsia="ja-JP"/>
              </w:rPr>
            </w:pPr>
            <w:r w:rsidRPr="006609FA">
              <w:rPr>
                <w:rFonts w:ascii="Arial" w:hAnsi="Arial" w:cs="Arial"/>
                <w:i/>
                <w:lang w:eastAsia="ja-JP"/>
              </w:rPr>
              <w:t>(“Permiso de aprovechamiento árboles aislados de bosques naturales”)</w:t>
            </w:r>
          </w:p>
        </w:tc>
        <w:tc>
          <w:tcPr>
            <w:tcW w:w="4500" w:type="dxa"/>
          </w:tcPr>
          <w:p w:rsidR="000549BD" w:rsidRPr="006609FA" w:rsidRDefault="000549BD" w:rsidP="000549BD">
            <w:pPr>
              <w:rPr>
                <w:rFonts w:ascii="Arial" w:hAnsi="Arial" w:cs="Arial"/>
              </w:rPr>
            </w:pPr>
            <w:r w:rsidRPr="006609FA">
              <w:rPr>
                <w:rFonts w:ascii="Arial" w:hAnsi="Arial" w:cs="Arial"/>
              </w:rPr>
              <w:t>Decree 1076/2015, art. 2.2.1.1.9.1</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en-US" w:eastAsia="ja-JP"/>
              </w:rPr>
            </w:pPr>
            <w:r w:rsidRPr="006609FA">
              <w:rPr>
                <w:rFonts w:ascii="Arial" w:hAnsi="Arial" w:cs="Arial"/>
                <w:lang w:val="en-US" w:eastAsia="ja-JP"/>
              </w:rPr>
              <w:t>Hazardous waste treatment, storage and disposal</w:t>
            </w:r>
          </w:p>
          <w:p w:rsidR="000549BD" w:rsidRPr="006609FA" w:rsidRDefault="000549BD" w:rsidP="000549BD">
            <w:pPr>
              <w:ind w:left="30"/>
              <w:rPr>
                <w:rFonts w:ascii="Arial" w:hAnsi="Arial" w:cs="Arial"/>
                <w:i/>
                <w:lang w:val="es-ES" w:eastAsia="ja-JP"/>
              </w:rPr>
            </w:pPr>
            <w:r w:rsidRPr="006609FA">
              <w:rPr>
                <w:rFonts w:ascii="Arial" w:hAnsi="Arial" w:cs="Arial"/>
                <w:i/>
                <w:lang w:val="es-ES" w:eastAsia="ja-JP"/>
              </w:rPr>
              <w:t>(“Permiso de residuos peligrosos”)</w:t>
            </w:r>
          </w:p>
        </w:tc>
        <w:tc>
          <w:tcPr>
            <w:tcW w:w="4500" w:type="dxa"/>
          </w:tcPr>
          <w:p w:rsidR="000549BD" w:rsidRPr="006609FA" w:rsidRDefault="000549BD" w:rsidP="000549BD">
            <w:pPr>
              <w:rPr>
                <w:rFonts w:ascii="Arial" w:hAnsi="Arial" w:cs="Arial"/>
              </w:rPr>
            </w:pPr>
            <w:r w:rsidRPr="006609FA">
              <w:rPr>
                <w:rFonts w:ascii="Arial" w:hAnsi="Arial" w:cs="Arial"/>
              </w:rPr>
              <w:t>Decree 1076/2015, art. 2.2.6.1.2.1</w:t>
            </w:r>
          </w:p>
        </w:tc>
      </w:tr>
      <w:tr w:rsidR="000549BD" w:rsidRPr="006609FA" w:rsidTr="000549BD">
        <w:trPr>
          <w:trHeight w:val="680"/>
        </w:trPr>
        <w:tc>
          <w:tcPr>
            <w:tcW w:w="4878" w:type="dxa"/>
          </w:tcPr>
          <w:p w:rsidR="000549BD" w:rsidRPr="006609FA" w:rsidRDefault="000549BD" w:rsidP="000549BD">
            <w:pPr>
              <w:ind w:left="30"/>
              <w:rPr>
                <w:rFonts w:ascii="Arial" w:hAnsi="Arial" w:cs="Arial"/>
                <w:lang w:val="en-US" w:eastAsia="ja-JP"/>
              </w:rPr>
            </w:pPr>
            <w:r w:rsidRPr="006609FA">
              <w:rPr>
                <w:rFonts w:ascii="Arial" w:hAnsi="Arial" w:cs="Arial"/>
                <w:lang w:val="en-US" w:eastAsia="ja-JP"/>
              </w:rPr>
              <w:t>Use of natural resources in natural reserve parks</w:t>
            </w:r>
          </w:p>
          <w:p w:rsidR="000549BD" w:rsidRPr="006609FA" w:rsidRDefault="000549BD" w:rsidP="000549BD">
            <w:pPr>
              <w:ind w:left="30"/>
              <w:rPr>
                <w:rFonts w:ascii="Arial" w:hAnsi="Arial" w:cs="Arial"/>
                <w:lang w:val="es-ES" w:eastAsia="ja-JP"/>
              </w:rPr>
            </w:pPr>
            <w:r w:rsidRPr="006609FA">
              <w:rPr>
                <w:rFonts w:ascii="Arial" w:hAnsi="Arial" w:cs="Arial"/>
                <w:lang w:val="es-ES" w:eastAsia="ja-JP"/>
              </w:rPr>
              <w:t>(</w:t>
            </w:r>
            <w:r w:rsidRPr="006609FA">
              <w:rPr>
                <w:rFonts w:ascii="Arial" w:hAnsi="Arial" w:cs="Arial"/>
                <w:i/>
                <w:lang w:val="es-ES" w:eastAsia="ja-JP"/>
              </w:rPr>
              <w:t>“Permiso de uso y aprovechamiento de los recursos naturales renovables”)</w:t>
            </w:r>
          </w:p>
        </w:tc>
        <w:tc>
          <w:tcPr>
            <w:tcW w:w="4500" w:type="dxa"/>
          </w:tcPr>
          <w:p w:rsidR="000549BD" w:rsidRPr="006609FA" w:rsidRDefault="000549BD" w:rsidP="000549BD">
            <w:pPr>
              <w:autoSpaceDE w:val="0"/>
              <w:autoSpaceDN w:val="0"/>
              <w:adjustRightInd w:val="0"/>
              <w:rPr>
                <w:rFonts w:ascii="Arial" w:hAnsi="Arial" w:cs="Arial"/>
                <w:lang w:val="en-US"/>
              </w:rPr>
            </w:pPr>
            <w:r w:rsidRPr="006609FA">
              <w:rPr>
                <w:rFonts w:ascii="Arial" w:hAnsi="Arial" w:cs="Arial"/>
                <w:lang w:val="en-US"/>
              </w:rPr>
              <w:t>Decree 1076/2015, art. 1.1.2.1.1</w:t>
            </w:r>
          </w:p>
          <w:p w:rsidR="000549BD" w:rsidRPr="006609FA" w:rsidRDefault="000549BD" w:rsidP="000549BD">
            <w:pPr>
              <w:autoSpaceDE w:val="0"/>
              <w:autoSpaceDN w:val="0"/>
              <w:adjustRightInd w:val="0"/>
              <w:rPr>
                <w:rFonts w:ascii="Arial" w:hAnsi="Arial" w:cs="Arial"/>
                <w:lang w:val="en-US"/>
              </w:rPr>
            </w:pPr>
            <w:r w:rsidRPr="006609FA">
              <w:rPr>
                <w:rFonts w:ascii="Arial" w:hAnsi="Arial" w:cs="Arial"/>
                <w:lang w:val="en-US"/>
              </w:rPr>
              <w:t>(This permit is granted by the national department responsible for the management of natural reserve parks.)</w:t>
            </w:r>
          </w:p>
        </w:tc>
      </w:tr>
    </w:tbl>
    <w:p w:rsidR="000549BD" w:rsidRDefault="000549BD" w:rsidP="000549BD">
      <w:pPr>
        <w:pStyle w:val="EndnoteText"/>
        <w:rPr>
          <w:rFonts w:ascii="Arial" w:hAnsi="Arial" w:cs="Arial"/>
          <w:sz w:val="22"/>
          <w:szCs w:val="22"/>
        </w:rPr>
      </w:pPr>
    </w:p>
    <w:p w:rsidR="000549BD" w:rsidRPr="005E4C7F" w:rsidRDefault="000549BD" w:rsidP="000549BD">
      <w:pPr>
        <w:pStyle w:val="EndnoteText"/>
        <w:rPr>
          <w:rFonts w:ascii="Arial" w:hAnsi="Arial" w:cs="Arial"/>
          <w:sz w:val="22"/>
          <w:szCs w:val="22"/>
        </w:rPr>
      </w:pPr>
      <w:r w:rsidRPr="005E4C7F">
        <w:rPr>
          <w:rFonts w:ascii="Arial" w:hAnsi="Arial" w:cs="Arial"/>
          <w:sz w:val="22"/>
          <w:szCs w:val="22"/>
        </w:rPr>
        <w:t>In addition, the legislation requires permits to activities that are usually not related to energy projects (e.g. Trade of endangered species, hunting and scientific research on natural reserves).</w:t>
      </w:r>
    </w:p>
    <w:p w:rsidR="000549BD" w:rsidRPr="005E4C7F" w:rsidRDefault="000549BD" w:rsidP="000549BD">
      <w:pPr>
        <w:pStyle w:val="EndnoteText"/>
        <w:jc w:val="both"/>
        <w:rPr>
          <w:rFonts w:ascii="Arial" w:hAnsi="Arial" w:cs="Arial"/>
          <w:b/>
          <w:sz w:val="22"/>
          <w:szCs w:val="22"/>
        </w:rPr>
      </w:pPr>
    </w:p>
    <w:p w:rsidR="000549BD" w:rsidRPr="005E4C7F" w:rsidRDefault="000549BD" w:rsidP="000549BD">
      <w:pPr>
        <w:pStyle w:val="EndnoteText"/>
        <w:ind w:left="360"/>
        <w:jc w:val="both"/>
        <w:rPr>
          <w:rFonts w:ascii="Arial" w:hAnsi="Arial" w:cs="Arial"/>
          <w:b/>
          <w:sz w:val="22"/>
          <w:szCs w:val="22"/>
        </w:rPr>
      </w:pPr>
      <w:r>
        <w:rPr>
          <w:rFonts w:ascii="Arial" w:hAnsi="Arial" w:cs="Arial"/>
          <w:b/>
          <w:sz w:val="22"/>
          <w:szCs w:val="22"/>
        </w:rPr>
        <w:t xml:space="preserve">2. </w:t>
      </w:r>
      <w:r w:rsidRPr="005E4C7F">
        <w:rPr>
          <w:rFonts w:ascii="Arial" w:hAnsi="Arial" w:cs="Arial"/>
          <w:b/>
          <w:sz w:val="22"/>
          <w:szCs w:val="22"/>
        </w:rPr>
        <w:t>Permitting process</w:t>
      </w:r>
    </w:p>
    <w:p w:rsidR="000549BD" w:rsidRPr="005E4C7F" w:rsidRDefault="000549BD" w:rsidP="000549BD">
      <w:pPr>
        <w:pStyle w:val="EndnoteText"/>
        <w:jc w:val="both"/>
        <w:rPr>
          <w:rFonts w:ascii="Arial" w:hAnsi="Arial" w:cs="Arial"/>
          <w:b/>
          <w:sz w:val="22"/>
          <w:szCs w:val="22"/>
        </w:rPr>
      </w:pPr>
    </w:p>
    <w:p w:rsidR="000549BD" w:rsidRPr="005E4C7F" w:rsidRDefault="000549BD" w:rsidP="000549BD">
      <w:pPr>
        <w:pStyle w:val="EndnoteText"/>
        <w:rPr>
          <w:rFonts w:ascii="Arial" w:hAnsi="Arial" w:cs="Arial"/>
          <w:sz w:val="22"/>
          <w:szCs w:val="22"/>
        </w:rPr>
      </w:pPr>
      <w:r w:rsidRPr="005E4C7F">
        <w:rPr>
          <w:rFonts w:ascii="Arial" w:hAnsi="Arial" w:cs="Arial"/>
          <w:sz w:val="22"/>
          <w:szCs w:val="22"/>
        </w:rPr>
        <w:t>The regional environmental authorities (“Corporaciones Autónomas Regionales - CAR”) have autonomy to define the permitting process to the projects that fall under their jurisdiction. The unified environmental decree (Decree 1076/2015), that regulates environmental issues in Colombia, only establishes that these applicable permits must be granted before the beginning of project execution.</w:t>
      </w:r>
    </w:p>
    <w:p w:rsidR="000549BD" w:rsidRPr="005E4C7F" w:rsidRDefault="000549BD" w:rsidP="000549BD">
      <w:pPr>
        <w:pStyle w:val="EndnoteText"/>
        <w:rPr>
          <w:rFonts w:ascii="Arial" w:hAnsi="Arial" w:cs="Arial"/>
          <w:sz w:val="22"/>
          <w:szCs w:val="22"/>
        </w:rPr>
      </w:pPr>
      <w:r w:rsidRPr="005E4C7F">
        <w:rPr>
          <w:rFonts w:ascii="Arial" w:hAnsi="Arial" w:cs="Arial"/>
          <w:sz w:val="22"/>
          <w:szCs w:val="22"/>
        </w:rPr>
        <w:t xml:space="preserve">Despite this autonomy, the Decree 1076/2015 (art. 2.2.2.8.5.4) establishes that all forms used to require permits must be in accordance with a national standard. Also, in order to standardize the permitting processes of the CARs and ANLA (“Agencia Nacional de Licenciamiento Ambiental” or “National Environmental Licensing Agency”), the government designed an online </w:t>
      </w:r>
      <w:r w:rsidRPr="005E4C7F">
        <w:rPr>
          <w:rFonts w:ascii="Arial" w:hAnsi="Arial" w:cs="Arial"/>
          <w:sz w:val="22"/>
          <w:szCs w:val="22"/>
        </w:rPr>
        <w:lastRenderedPageBreak/>
        <w:t>platform ("Ventanilla Integral de Tramites Ambientales en Línea - VITAL"</w:t>
      </w:r>
      <w:r w:rsidRPr="005E4C7F">
        <w:rPr>
          <w:rFonts w:ascii="Arial" w:hAnsi="Arial" w:cs="Arial"/>
          <w:sz w:val="22"/>
          <w:szCs w:val="22"/>
          <w:vertAlign w:val="superscript"/>
        </w:rPr>
        <w:footnoteRef/>
      </w:r>
      <w:r w:rsidRPr="005E4C7F">
        <w:rPr>
          <w:rFonts w:ascii="Arial" w:hAnsi="Arial" w:cs="Arial"/>
          <w:sz w:val="22"/>
          <w:szCs w:val="22"/>
        </w:rPr>
        <w:t>) in which companies and citizens can apply for the licenses and permits.</w:t>
      </w:r>
    </w:p>
    <w:p w:rsidR="000549BD" w:rsidRPr="005E4C7F" w:rsidRDefault="000549BD" w:rsidP="000549BD">
      <w:pPr>
        <w:pStyle w:val="EndnoteText"/>
        <w:rPr>
          <w:rFonts w:ascii="Arial" w:hAnsi="Arial" w:cs="Arial"/>
          <w:sz w:val="22"/>
          <w:szCs w:val="22"/>
        </w:rPr>
      </w:pPr>
    </w:p>
    <w:p w:rsidR="000549BD" w:rsidRPr="005E4C7F" w:rsidRDefault="000549BD" w:rsidP="000549BD">
      <w:pPr>
        <w:pStyle w:val="EndnoteText"/>
        <w:rPr>
          <w:rFonts w:ascii="Arial" w:hAnsi="Arial" w:cs="Arial"/>
          <w:sz w:val="22"/>
          <w:szCs w:val="22"/>
        </w:rPr>
      </w:pPr>
      <w:r w:rsidRPr="005E4C7F">
        <w:rPr>
          <w:rFonts w:ascii="Arial" w:hAnsi="Arial" w:cs="Arial"/>
          <w:sz w:val="22"/>
          <w:szCs w:val="22"/>
        </w:rPr>
        <w:t>Also, some environmental authorities describe the processes and the required documents of their permits in a centralized online platform (“Sistema Único de Información de Trámites – SUIT”)</w:t>
      </w:r>
      <w:r w:rsidRPr="005E4C7F">
        <w:rPr>
          <w:rFonts w:ascii="Arial" w:hAnsi="Arial" w:cs="Arial"/>
          <w:sz w:val="22"/>
          <w:szCs w:val="22"/>
          <w:vertAlign w:val="superscript"/>
        </w:rPr>
        <w:footnoteRef/>
      </w:r>
      <w:r w:rsidRPr="005E4C7F">
        <w:rPr>
          <w:rFonts w:ascii="Arial" w:hAnsi="Arial" w:cs="Arial"/>
          <w:sz w:val="22"/>
          <w:szCs w:val="22"/>
        </w:rPr>
        <w:t>. Based on this information, we could identify the usual permit application flow to companies:</w:t>
      </w:r>
    </w:p>
    <w:p w:rsidR="000549BD" w:rsidRPr="005E4C7F" w:rsidRDefault="000549BD" w:rsidP="000549BD">
      <w:pPr>
        <w:pStyle w:val="EndnoteText"/>
        <w:rPr>
          <w:rFonts w:ascii="Arial" w:hAnsi="Arial" w:cs="Arial"/>
          <w:sz w:val="22"/>
          <w:szCs w:val="22"/>
        </w:rPr>
      </w:pP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Preparing solicitation</w:t>
      </w:r>
    </w:p>
    <w:p w:rsidR="000549BD" w:rsidRPr="005E4C7F" w:rsidRDefault="000549BD" w:rsidP="000549BD">
      <w:pPr>
        <w:pStyle w:val="EndnoteText"/>
        <w:jc w:val="both"/>
        <w:rPr>
          <w:rFonts w:ascii="Arial" w:hAnsi="Arial" w:cs="Arial"/>
          <w:sz w:val="22"/>
          <w:szCs w:val="22"/>
        </w:rPr>
      </w:pPr>
      <w:r w:rsidRPr="005E4C7F">
        <w:rPr>
          <w:rFonts w:ascii="Arial" w:hAnsi="Arial" w:cs="Arial"/>
          <w:sz w:val="22"/>
          <w:szCs w:val="22"/>
        </w:rPr>
        <w:t xml:space="preserve">In this step, the citizen/organization must describe the project and provide information about the activity on standard forms (e.g. National Form for surface water concessions, National Form for Forest Harvesting) and, if applicable, present required plans to manage the negative impact (e.g. Risk Management Plan for the Water discharge). </w:t>
      </w: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Paying for the evaluation</w:t>
      </w:r>
    </w:p>
    <w:p w:rsidR="000549BD" w:rsidRPr="005E4C7F" w:rsidRDefault="000549BD" w:rsidP="000549BD">
      <w:pPr>
        <w:pStyle w:val="EndnoteText"/>
        <w:jc w:val="both"/>
        <w:rPr>
          <w:rFonts w:ascii="Arial" w:hAnsi="Arial" w:cs="Arial"/>
          <w:sz w:val="22"/>
          <w:szCs w:val="22"/>
        </w:rPr>
      </w:pP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Submitting documentation</w:t>
      </w:r>
    </w:p>
    <w:p w:rsidR="000549BD" w:rsidRPr="005E4C7F" w:rsidRDefault="000549BD" w:rsidP="000549BD">
      <w:pPr>
        <w:pStyle w:val="EndnoteText"/>
        <w:jc w:val="both"/>
        <w:rPr>
          <w:rFonts w:ascii="Arial" w:hAnsi="Arial" w:cs="Arial"/>
          <w:sz w:val="22"/>
          <w:szCs w:val="22"/>
        </w:rPr>
      </w:pPr>
      <w:r w:rsidRPr="005E4C7F">
        <w:rPr>
          <w:rFonts w:ascii="Arial" w:hAnsi="Arial" w:cs="Arial"/>
          <w:sz w:val="22"/>
          <w:szCs w:val="22"/>
        </w:rPr>
        <w:t>The documentation prepared on the first step must be submitted to the environmental authority.</w:t>
      </w:r>
    </w:p>
    <w:p w:rsidR="000549BD" w:rsidRPr="005E4C7F" w:rsidRDefault="000549BD" w:rsidP="000549BD">
      <w:pPr>
        <w:pStyle w:val="EndnoteText"/>
        <w:jc w:val="both"/>
        <w:rPr>
          <w:rFonts w:ascii="Arial" w:hAnsi="Arial" w:cs="Arial"/>
          <w:sz w:val="22"/>
          <w:szCs w:val="22"/>
        </w:rPr>
      </w:pP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Submitting additional documentation</w:t>
      </w:r>
    </w:p>
    <w:p w:rsidR="000549BD" w:rsidRPr="005E4C7F" w:rsidRDefault="000549BD" w:rsidP="000549BD">
      <w:pPr>
        <w:pStyle w:val="EndnoteText"/>
        <w:jc w:val="both"/>
        <w:rPr>
          <w:rFonts w:ascii="Arial" w:hAnsi="Arial" w:cs="Arial"/>
          <w:sz w:val="22"/>
          <w:szCs w:val="22"/>
        </w:rPr>
      </w:pPr>
      <w:r w:rsidRPr="005E4C7F">
        <w:rPr>
          <w:rFonts w:ascii="Arial" w:hAnsi="Arial" w:cs="Arial"/>
          <w:sz w:val="22"/>
          <w:szCs w:val="22"/>
        </w:rPr>
        <w:t>After the initial assessment, the agency may ask for additional documents in order to support its decision.</w:t>
      </w:r>
    </w:p>
    <w:p w:rsidR="000549BD" w:rsidRPr="005E4C7F" w:rsidRDefault="000549BD" w:rsidP="000549BD">
      <w:pPr>
        <w:pStyle w:val="EndnoteText"/>
        <w:jc w:val="both"/>
        <w:rPr>
          <w:rFonts w:ascii="Arial" w:hAnsi="Arial" w:cs="Arial"/>
          <w:sz w:val="22"/>
          <w:szCs w:val="22"/>
        </w:rPr>
      </w:pP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 xml:space="preserve">Receiving the authorization information (“Auto de inicio”) </w:t>
      </w:r>
    </w:p>
    <w:p w:rsidR="000549BD" w:rsidRPr="005E4C7F" w:rsidRDefault="000549BD" w:rsidP="000549BD">
      <w:pPr>
        <w:pStyle w:val="EndnoteText"/>
        <w:jc w:val="both"/>
        <w:rPr>
          <w:rFonts w:ascii="Arial" w:hAnsi="Arial" w:cs="Arial"/>
          <w:sz w:val="22"/>
          <w:szCs w:val="22"/>
        </w:rPr>
      </w:pPr>
    </w:p>
    <w:p w:rsidR="000549BD" w:rsidRPr="005E4C7F" w:rsidRDefault="000549BD" w:rsidP="000549BD">
      <w:pPr>
        <w:pStyle w:val="EndnoteText"/>
        <w:numPr>
          <w:ilvl w:val="0"/>
          <w:numId w:val="39"/>
        </w:numPr>
        <w:jc w:val="both"/>
        <w:rPr>
          <w:rFonts w:ascii="Arial" w:hAnsi="Arial" w:cs="Arial"/>
          <w:i/>
          <w:sz w:val="22"/>
          <w:szCs w:val="22"/>
        </w:rPr>
      </w:pPr>
      <w:r w:rsidRPr="005E4C7F">
        <w:rPr>
          <w:rFonts w:ascii="Arial" w:hAnsi="Arial" w:cs="Arial"/>
          <w:i/>
          <w:sz w:val="22"/>
          <w:szCs w:val="22"/>
        </w:rPr>
        <w:t>Field visit to the project</w:t>
      </w:r>
    </w:p>
    <w:p w:rsidR="000549BD" w:rsidRPr="005E4C7F" w:rsidRDefault="000549BD" w:rsidP="000549BD">
      <w:pPr>
        <w:pStyle w:val="EndnoteText"/>
        <w:jc w:val="both"/>
        <w:rPr>
          <w:rFonts w:ascii="Arial" w:hAnsi="Arial" w:cs="Arial"/>
          <w:sz w:val="22"/>
          <w:szCs w:val="22"/>
        </w:rPr>
      </w:pPr>
      <w:r w:rsidRPr="005E4C7F">
        <w:rPr>
          <w:rFonts w:ascii="Arial" w:hAnsi="Arial" w:cs="Arial"/>
          <w:sz w:val="22"/>
          <w:szCs w:val="22"/>
        </w:rPr>
        <w:t>The authority verifies environmental conditions of the project (when applicable) and the accuracy of the information provided by the applicant.</w:t>
      </w:r>
    </w:p>
    <w:p w:rsidR="000549BD" w:rsidRPr="005E4C7F" w:rsidRDefault="000549BD" w:rsidP="000549BD">
      <w:pPr>
        <w:pStyle w:val="EndnoteText"/>
        <w:jc w:val="both"/>
        <w:rPr>
          <w:rFonts w:ascii="Arial" w:hAnsi="Arial" w:cs="Arial"/>
          <w:sz w:val="22"/>
          <w:szCs w:val="22"/>
        </w:rPr>
      </w:pPr>
    </w:p>
    <w:p w:rsidR="000549BD" w:rsidRPr="005E4C7F" w:rsidRDefault="000549BD" w:rsidP="000549BD">
      <w:pPr>
        <w:pStyle w:val="EndnoteText"/>
        <w:ind w:left="360"/>
        <w:jc w:val="both"/>
        <w:rPr>
          <w:rFonts w:ascii="Arial" w:hAnsi="Arial" w:cs="Arial"/>
          <w:b/>
          <w:sz w:val="22"/>
          <w:szCs w:val="22"/>
        </w:rPr>
      </w:pPr>
      <w:r>
        <w:rPr>
          <w:rFonts w:ascii="Arial" w:hAnsi="Arial" w:cs="Arial"/>
          <w:b/>
          <w:sz w:val="22"/>
          <w:szCs w:val="22"/>
        </w:rPr>
        <w:t xml:space="preserve">3. </w:t>
      </w:r>
      <w:r w:rsidRPr="005E4C7F">
        <w:rPr>
          <w:rFonts w:ascii="Arial" w:hAnsi="Arial" w:cs="Arial"/>
          <w:b/>
          <w:sz w:val="22"/>
          <w:szCs w:val="22"/>
        </w:rPr>
        <w:t>Prior Consultation with Traditional Communities</w:t>
      </w:r>
    </w:p>
    <w:p w:rsidR="000549BD" w:rsidRPr="005E4C7F" w:rsidRDefault="000549BD" w:rsidP="000549BD">
      <w:pPr>
        <w:pStyle w:val="EndnoteText"/>
        <w:rPr>
          <w:rFonts w:ascii="Arial" w:hAnsi="Arial" w:cs="Arial"/>
          <w:sz w:val="22"/>
          <w:szCs w:val="22"/>
        </w:rPr>
      </w:pPr>
    </w:p>
    <w:p w:rsidR="000549BD" w:rsidRPr="005E4C7F" w:rsidRDefault="000549BD" w:rsidP="000549BD">
      <w:pPr>
        <w:pStyle w:val="EndnoteText"/>
        <w:jc w:val="both"/>
        <w:rPr>
          <w:rFonts w:ascii="Arial" w:hAnsi="Arial" w:cs="Arial"/>
          <w:sz w:val="22"/>
          <w:szCs w:val="22"/>
        </w:rPr>
      </w:pPr>
      <w:r w:rsidRPr="005E4C7F">
        <w:rPr>
          <w:rFonts w:ascii="Arial" w:hAnsi="Arial" w:cs="Arial"/>
          <w:sz w:val="22"/>
          <w:szCs w:val="22"/>
        </w:rPr>
        <w:t>Besides environmental permits, Colombian government verifies if a project affect ethnic communities (indigenous and afrocolombians)</w:t>
      </w:r>
      <w:r w:rsidRPr="005E4C7F">
        <w:rPr>
          <w:rFonts w:ascii="Arial" w:hAnsi="Arial" w:cs="Arial"/>
          <w:sz w:val="22"/>
          <w:szCs w:val="22"/>
          <w:vertAlign w:val="superscript"/>
        </w:rPr>
        <w:footnoteRef/>
      </w:r>
      <w:r w:rsidRPr="005E4C7F">
        <w:rPr>
          <w:rFonts w:ascii="Arial" w:hAnsi="Arial" w:cs="Arial"/>
          <w:sz w:val="22"/>
          <w:szCs w:val="22"/>
        </w:rPr>
        <w:t>. In order to ensure their legal rights to Free, Prior, Informed Consultation, the project developer must receive a certification of non-existence of traditional communities in the project-impacted lands. The certification is granted by the Ministry of Interior, after an audit that uses a database of traditional communities and, in some case, a visit to the site to validate the decision.</w:t>
      </w:r>
    </w:p>
    <w:p w:rsidR="000549BD" w:rsidRPr="005E4C7F" w:rsidRDefault="000549BD" w:rsidP="000549BD">
      <w:pPr>
        <w:pStyle w:val="EndnoteText"/>
        <w:jc w:val="both"/>
        <w:rPr>
          <w:rFonts w:ascii="Arial" w:hAnsi="Arial" w:cs="Arial"/>
          <w:sz w:val="22"/>
          <w:szCs w:val="22"/>
        </w:rPr>
      </w:pPr>
    </w:p>
    <w:p w:rsidR="000549BD" w:rsidRDefault="000549BD" w:rsidP="000549BD">
      <w:pPr>
        <w:pStyle w:val="EndnoteText"/>
        <w:jc w:val="both"/>
        <w:rPr>
          <w:rFonts w:ascii="Arial" w:hAnsi="Arial" w:cs="Arial"/>
          <w:sz w:val="22"/>
          <w:szCs w:val="22"/>
        </w:rPr>
      </w:pPr>
      <w:r w:rsidRPr="005E4C7F">
        <w:rPr>
          <w:rFonts w:ascii="Arial" w:hAnsi="Arial" w:cs="Arial"/>
          <w:sz w:val="22"/>
          <w:szCs w:val="22"/>
        </w:rPr>
        <w:t>Whenever the Ministry of Interior identifies the presence of these communities, it will require a prior consultation process. The community’s representatives will participate in the design of impact assessment and declare their agreement or disagreement with proposed measures to manage the negative impacts</w:t>
      </w:r>
    </w:p>
    <w:p w:rsidR="000549BD" w:rsidRDefault="000549BD" w:rsidP="000549BD">
      <w:pPr>
        <w:pStyle w:val="EndnoteText"/>
        <w:jc w:val="both"/>
        <w:rPr>
          <w:rFonts w:ascii="Arial" w:hAnsi="Arial" w:cs="Arial"/>
          <w:sz w:val="22"/>
          <w:szCs w:val="22"/>
        </w:rPr>
      </w:pPr>
    </w:p>
    <w:p w:rsidR="000549BD" w:rsidRPr="005E4C7F" w:rsidRDefault="000549BD" w:rsidP="000549BD">
      <w:pPr>
        <w:pStyle w:val="EndnoteText"/>
        <w:rPr>
          <w:rFonts w:ascii="Arial" w:hAnsi="Arial" w:cs="Arial"/>
          <w:lang w:val="es-ES"/>
        </w:rPr>
      </w:pPr>
      <w:r w:rsidRPr="005E4C7F">
        <w:rPr>
          <w:rFonts w:ascii="Arial" w:hAnsi="Arial" w:cs="Arial"/>
          <w:b/>
          <w:lang w:val="es-ES"/>
        </w:rPr>
        <w:t>References</w:t>
      </w:r>
      <w:r w:rsidRPr="005E4C7F">
        <w:rPr>
          <w:rFonts w:ascii="Arial" w:hAnsi="Arial" w:cs="Arial"/>
          <w:lang w:val="es-ES"/>
        </w:rPr>
        <w:t>:</w:t>
      </w:r>
    </w:p>
    <w:p w:rsidR="000549BD" w:rsidRPr="005E4C7F" w:rsidRDefault="000549BD" w:rsidP="000549BD">
      <w:pPr>
        <w:pStyle w:val="EndnoteText"/>
        <w:rPr>
          <w:rFonts w:ascii="Arial" w:hAnsi="Arial" w:cs="Arial"/>
          <w:lang w:val="es-ES"/>
        </w:rPr>
      </w:pPr>
    </w:p>
    <w:p w:rsidR="000549BD" w:rsidRPr="000549BD" w:rsidRDefault="000549BD" w:rsidP="000549BD">
      <w:pPr>
        <w:pStyle w:val="EndnoteText"/>
        <w:jc w:val="both"/>
        <w:rPr>
          <w:rFonts w:ascii="Arial" w:hAnsi="Arial" w:cs="Arial"/>
          <w:sz w:val="22"/>
          <w:szCs w:val="22"/>
          <w:lang w:val="es-ES"/>
        </w:rPr>
      </w:pPr>
      <w:r w:rsidRPr="000549BD">
        <w:rPr>
          <w:rFonts w:ascii="Arial" w:hAnsi="Arial" w:cs="Arial"/>
          <w:sz w:val="22"/>
          <w:szCs w:val="22"/>
          <w:lang w:val="es-ES"/>
        </w:rPr>
        <w:t>Decree 1076/2015:</w:t>
      </w:r>
    </w:p>
    <w:p w:rsidR="000549BD" w:rsidRPr="000549BD" w:rsidRDefault="00A11F18" w:rsidP="000549BD">
      <w:pPr>
        <w:pStyle w:val="EndnoteText"/>
        <w:jc w:val="both"/>
        <w:rPr>
          <w:rFonts w:ascii="Arial" w:hAnsi="Arial" w:cs="Arial"/>
          <w:sz w:val="22"/>
          <w:szCs w:val="22"/>
          <w:lang w:val="es-ES"/>
        </w:rPr>
      </w:pPr>
      <w:hyperlink r:id="rId10" w:history="1">
        <w:r w:rsidR="000549BD" w:rsidRPr="000549BD">
          <w:rPr>
            <w:rStyle w:val="Hyperlink"/>
            <w:rFonts w:ascii="Arial" w:hAnsi="Arial" w:cs="Arial"/>
            <w:sz w:val="22"/>
            <w:szCs w:val="22"/>
            <w:lang w:val="es-ES"/>
          </w:rPr>
          <w:t>http://wp.presidencia.gov.co/sitios/normativa/decretos/2015/Decretos2015/DECRETO%201076%20DEL%2026%20DE%20MAYO%20DE%202015.pdf</w:t>
        </w:r>
      </w:hyperlink>
    </w:p>
    <w:p w:rsidR="000549BD" w:rsidRPr="000549BD" w:rsidRDefault="000549BD" w:rsidP="000549BD">
      <w:pPr>
        <w:pStyle w:val="EndnoteText"/>
        <w:rPr>
          <w:rFonts w:ascii="Arial" w:hAnsi="Arial" w:cs="Arial"/>
          <w:sz w:val="22"/>
          <w:szCs w:val="22"/>
          <w:lang w:val="es-ES"/>
        </w:rPr>
      </w:pPr>
    </w:p>
    <w:p w:rsidR="000549BD" w:rsidRPr="000549BD" w:rsidRDefault="000549BD" w:rsidP="000549BD">
      <w:pPr>
        <w:pStyle w:val="EndnoteText"/>
        <w:jc w:val="both"/>
        <w:rPr>
          <w:rFonts w:ascii="Arial" w:hAnsi="Arial" w:cs="Arial"/>
          <w:sz w:val="22"/>
          <w:szCs w:val="22"/>
          <w:lang w:val="es-ES"/>
        </w:rPr>
      </w:pPr>
      <w:r w:rsidRPr="000549BD">
        <w:rPr>
          <w:rFonts w:ascii="Arial" w:hAnsi="Arial" w:cs="Arial"/>
          <w:sz w:val="22"/>
          <w:szCs w:val="22"/>
          <w:lang w:val="es-ES"/>
        </w:rPr>
        <w:t xml:space="preserve">Ventanilla Integral de Tramites Ambientales en Línea: </w:t>
      </w:r>
      <w:hyperlink r:id="rId11" w:history="1">
        <w:r w:rsidRPr="000549BD">
          <w:rPr>
            <w:rStyle w:val="Hyperlink"/>
            <w:rFonts w:ascii="Arial" w:hAnsi="Arial" w:cs="Arial"/>
            <w:sz w:val="22"/>
            <w:szCs w:val="22"/>
            <w:lang w:val="es-ES"/>
          </w:rPr>
          <w:t>http://vital.anla.gov.co/SILPA/TESTSILPA/Security/Login.aspx?ReturnUrl=%2fSILPA%2fTestSilpa%2fSecurity%2fdefault.aspx</w:t>
        </w:r>
      </w:hyperlink>
    </w:p>
    <w:p w:rsidR="000549BD" w:rsidRPr="000549BD" w:rsidRDefault="000549BD" w:rsidP="000549BD">
      <w:pPr>
        <w:pStyle w:val="EndnoteText"/>
        <w:jc w:val="both"/>
        <w:rPr>
          <w:rFonts w:ascii="Arial" w:hAnsi="Arial" w:cs="Arial"/>
          <w:sz w:val="22"/>
          <w:szCs w:val="22"/>
          <w:lang w:val="es-ES"/>
        </w:rPr>
      </w:pPr>
    </w:p>
    <w:p w:rsidR="000549BD" w:rsidRPr="000549BD" w:rsidRDefault="000549BD" w:rsidP="000549BD">
      <w:pPr>
        <w:pStyle w:val="EndnoteText"/>
        <w:jc w:val="both"/>
        <w:rPr>
          <w:rFonts w:ascii="Arial" w:hAnsi="Arial" w:cs="Arial"/>
          <w:sz w:val="22"/>
          <w:szCs w:val="22"/>
          <w:lang w:val="es-ES"/>
        </w:rPr>
      </w:pPr>
      <w:r w:rsidRPr="000549BD">
        <w:rPr>
          <w:rFonts w:ascii="Arial" w:hAnsi="Arial" w:cs="Arial"/>
          <w:sz w:val="22"/>
          <w:szCs w:val="22"/>
          <w:lang w:val="es-ES"/>
        </w:rPr>
        <w:t xml:space="preserve">Sistema Único de Información de Trámites: </w:t>
      </w:r>
    </w:p>
    <w:p w:rsidR="000549BD" w:rsidRPr="000549BD" w:rsidRDefault="00A11F18" w:rsidP="000549BD">
      <w:pPr>
        <w:pStyle w:val="EndnoteText"/>
        <w:jc w:val="both"/>
        <w:rPr>
          <w:rFonts w:ascii="Arial" w:hAnsi="Arial" w:cs="Arial"/>
          <w:sz w:val="22"/>
          <w:szCs w:val="22"/>
          <w:lang w:val="es-ES"/>
        </w:rPr>
      </w:pPr>
      <w:hyperlink r:id="rId12" w:history="1">
        <w:r w:rsidR="000549BD" w:rsidRPr="000549BD">
          <w:rPr>
            <w:rStyle w:val="Hyperlink"/>
            <w:rFonts w:ascii="Arial" w:hAnsi="Arial" w:cs="Arial"/>
            <w:sz w:val="22"/>
            <w:szCs w:val="22"/>
            <w:lang w:val="es-ES"/>
          </w:rPr>
          <w:t>http://www.suit.gov.co/inicio</w:t>
        </w:r>
      </w:hyperlink>
    </w:p>
    <w:p w:rsidR="000549BD" w:rsidRPr="000549BD" w:rsidRDefault="000549BD" w:rsidP="000549BD">
      <w:pPr>
        <w:pStyle w:val="EndnoteText"/>
        <w:jc w:val="both"/>
        <w:rPr>
          <w:rFonts w:ascii="Arial" w:hAnsi="Arial" w:cs="Arial"/>
          <w:sz w:val="22"/>
          <w:szCs w:val="22"/>
          <w:lang w:val="es-ES"/>
        </w:rPr>
      </w:pPr>
    </w:p>
    <w:p w:rsidR="000549BD" w:rsidRPr="000549BD" w:rsidRDefault="000549BD" w:rsidP="000549BD">
      <w:pPr>
        <w:pStyle w:val="EndnoteText"/>
        <w:jc w:val="both"/>
        <w:rPr>
          <w:rFonts w:ascii="Arial" w:hAnsi="Arial" w:cs="Arial"/>
          <w:sz w:val="22"/>
          <w:szCs w:val="22"/>
          <w:lang w:val="es-ES"/>
        </w:rPr>
      </w:pPr>
      <w:r w:rsidRPr="000549BD">
        <w:rPr>
          <w:rFonts w:ascii="Arial" w:hAnsi="Arial" w:cs="Arial"/>
          <w:sz w:val="22"/>
          <w:szCs w:val="22"/>
          <w:lang w:val="es-ES"/>
        </w:rPr>
        <w:t>Decree 1320/1998: https://www.mininterior.gov.co/sites/default/files/co-decreto-1320-98-consulta-previa-indigenas-_2.pdf,</w:t>
      </w:r>
    </w:p>
    <w:p w:rsidR="00B94F95" w:rsidRPr="000549BD" w:rsidRDefault="000549BD" w:rsidP="000549BD">
      <w:pPr>
        <w:tabs>
          <w:tab w:val="left" w:pos="810"/>
        </w:tabs>
        <w:suppressAutoHyphens/>
        <w:autoSpaceDN w:val="0"/>
        <w:spacing w:before="120" w:after="120" w:line="240" w:lineRule="auto"/>
        <w:jc w:val="both"/>
        <w:textAlignment w:val="baseline"/>
        <w:outlineLvl w:val="1"/>
        <w:rPr>
          <w:rFonts w:ascii="Arial" w:eastAsia="Times New Roman" w:hAnsi="Arial" w:cs="Arial"/>
          <w:b/>
          <w:lang w:val="es-ES"/>
        </w:rPr>
      </w:pPr>
      <w:r w:rsidRPr="000549BD">
        <w:rPr>
          <w:rFonts w:ascii="Arial" w:hAnsi="Arial" w:cs="Arial"/>
          <w:lang w:val="es-ES"/>
        </w:rPr>
        <w:t>Decree 1220/2005: http://www.ideam.gov.co/documents/24024/36843/Decreto_1220+de+2005.pdf/9127b232-8215-46aa-8793-c0d3ec21b076</w:t>
      </w:r>
    </w:p>
    <w:p w:rsidR="000549BD" w:rsidRPr="000549BD" w:rsidRDefault="000549BD">
      <w:pPr>
        <w:rPr>
          <w:rFonts w:ascii="Arial" w:eastAsia="Times New Roman" w:hAnsi="Arial" w:cs="Arial"/>
          <w:b/>
          <w:lang w:val="es-ES"/>
        </w:rPr>
      </w:pPr>
      <w:r w:rsidRPr="000549BD">
        <w:rPr>
          <w:rFonts w:ascii="Arial" w:eastAsia="Times New Roman" w:hAnsi="Arial" w:cs="Arial"/>
          <w:b/>
          <w:lang w:val="es-ES"/>
        </w:rPr>
        <w:br w:type="page"/>
      </w:r>
    </w:p>
    <w:p w:rsidR="000549BD" w:rsidRPr="000549BD" w:rsidRDefault="000549BD" w:rsidP="00B94F95">
      <w:pPr>
        <w:tabs>
          <w:tab w:val="left" w:pos="810"/>
        </w:tabs>
        <w:suppressAutoHyphens/>
        <w:autoSpaceDN w:val="0"/>
        <w:spacing w:before="120" w:after="120" w:line="240" w:lineRule="auto"/>
        <w:jc w:val="both"/>
        <w:textAlignment w:val="baseline"/>
        <w:outlineLvl w:val="1"/>
        <w:rPr>
          <w:rFonts w:ascii="Arial" w:eastAsia="Times New Roman" w:hAnsi="Arial" w:cs="Arial"/>
          <w:b/>
          <w:lang w:val="es-ES"/>
        </w:rPr>
      </w:pPr>
    </w:p>
    <w:p w:rsidR="000549BD" w:rsidRPr="000549BD" w:rsidRDefault="000549BD" w:rsidP="00B94F95">
      <w:pPr>
        <w:tabs>
          <w:tab w:val="left" w:pos="810"/>
        </w:tabs>
        <w:suppressAutoHyphens/>
        <w:autoSpaceDN w:val="0"/>
        <w:spacing w:before="120" w:after="120" w:line="240" w:lineRule="auto"/>
        <w:jc w:val="both"/>
        <w:textAlignment w:val="baseline"/>
        <w:outlineLvl w:val="1"/>
        <w:rPr>
          <w:rFonts w:ascii="Arial" w:eastAsia="Times New Roman" w:hAnsi="Arial" w:cs="Arial"/>
          <w:b/>
          <w:lang w:val="es-ES"/>
        </w:rPr>
      </w:pPr>
    </w:p>
    <w:p w:rsidR="00B94F95" w:rsidRPr="000549BD" w:rsidRDefault="00B94F95" w:rsidP="005E4C7F">
      <w:pPr>
        <w:tabs>
          <w:tab w:val="left" w:pos="810"/>
        </w:tabs>
        <w:suppressAutoHyphens/>
        <w:autoSpaceDN w:val="0"/>
        <w:spacing w:before="120" w:after="120" w:line="240" w:lineRule="auto"/>
        <w:ind w:left="360"/>
        <w:jc w:val="both"/>
        <w:textAlignment w:val="baseline"/>
        <w:outlineLvl w:val="1"/>
        <w:rPr>
          <w:rFonts w:ascii="Arial" w:eastAsia="Times New Roman" w:hAnsi="Arial" w:cs="Arial"/>
          <w:b/>
          <w:lang w:val="es-ES"/>
        </w:rPr>
      </w:pPr>
    </w:p>
    <w:tbl>
      <w:tblPr>
        <w:tblStyle w:val="TableGrid1"/>
        <w:tblpPr w:leftFromText="141" w:rightFromText="141" w:vertAnchor="page" w:horzAnchor="margin" w:tblpY="3661"/>
        <w:tblW w:w="8217" w:type="dxa"/>
        <w:shd w:val="clear" w:color="auto" w:fill="E6E6E6"/>
        <w:tblLook w:val="04A0" w:firstRow="1" w:lastRow="0" w:firstColumn="1" w:lastColumn="0" w:noHBand="0" w:noVBand="1"/>
      </w:tblPr>
      <w:tblGrid>
        <w:gridCol w:w="4390"/>
        <w:gridCol w:w="3827"/>
      </w:tblGrid>
      <w:tr w:rsidR="00E433E4" w:rsidRPr="006609FA" w:rsidTr="00D858C3">
        <w:trPr>
          <w:trHeight w:val="355"/>
        </w:trPr>
        <w:tc>
          <w:tcPr>
            <w:tcW w:w="4390" w:type="dxa"/>
            <w:shd w:val="clear" w:color="auto" w:fill="E6E6E6"/>
            <w:vAlign w:val="center"/>
          </w:tcPr>
          <w:p w:rsidR="00E433E4" w:rsidRPr="006609FA" w:rsidRDefault="00E433E4" w:rsidP="00D858C3">
            <w:pPr>
              <w:ind w:left="30"/>
              <w:rPr>
                <w:rFonts w:ascii="Arial" w:hAnsi="Arial" w:cs="Arial"/>
                <w:b/>
              </w:rPr>
            </w:pPr>
            <w:r w:rsidRPr="006609FA">
              <w:rPr>
                <w:rFonts w:ascii="Arial" w:hAnsi="Arial" w:cs="Arial"/>
                <w:b/>
              </w:rPr>
              <w:t>Applicability</w:t>
            </w:r>
          </w:p>
        </w:tc>
        <w:tc>
          <w:tcPr>
            <w:tcW w:w="3827" w:type="dxa"/>
            <w:shd w:val="clear" w:color="auto" w:fill="E6E6E6"/>
            <w:vAlign w:val="center"/>
          </w:tcPr>
          <w:p w:rsidR="00E433E4" w:rsidRPr="006609FA" w:rsidRDefault="00E433E4" w:rsidP="00D858C3">
            <w:pPr>
              <w:ind w:left="30"/>
              <w:rPr>
                <w:rFonts w:ascii="Arial" w:hAnsi="Arial" w:cs="Arial"/>
                <w:b/>
              </w:rPr>
            </w:pPr>
            <w:r w:rsidRPr="006609FA">
              <w:rPr>
                <w:rFonts w:ascii="Arial" w:hAnsi="Arial" w:cs="Arial"/>
                <w:b/>
              </w:rPr>
              <w:t>Source</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en-US" w:eastAsia="ja-JP"/>
              </w:rPr>
            </w:pPr>
            <w:r w:rsidRPr="006609FA">
              <w:rPr>
                <w:rFonts w:ascii="Arial" w:hAnsi="Arial" w:cs="Arial"/>
                <w:lang w:val="en-US" w:eastAsia="ja-JP"/>
              </w:rPr>
              <w:t xml:space="preserve">Surface water drainage, including rainwater storage and public water </w:t>
            </w:r>
          </w:p>
          <w:p w:rsidR="00E433E4" w:rsidRPr="006609FA" w:rsidRDefault="00E433E4" w:rsidP="00D858C3">
            <w:pPr>
              <w:ind w:left="30"/>
              <w:rPr>
                <w:rFonts w:ascii="Arial" w:hAnsi="Arial" w:cs="Arial"/>
                <w:i/>
                <w:lang w:eastAsia="ja-JP"/>
              </w:rPr>
            </w:pPr>
            <w:r w:rsidRPr="006609FA">
              <w:rPr>
                <w:rFonts w:ascii="Arial" w:hAnsi="Arial" w:cs="Arial"/>
                <w:i/>
                <w:lang w:eastAsia="ja-JP"/>
              </w:rPr>
              <w:t>(“Concesión de aguas superficiales”)</w:t>
            </w:r>
          </w:p>
        </w:tc>
        <w:tc>
          <w:tcPr>
            <w:tcW w:w="3827" w:type="dxa"/>
          </w:tcPr>
          <w:p w:rsidR="00E433E4" w:rsidRPr="006609FA" w:rsidRDefault="00E433E4" w:rsidP="00D858C3">
            <w:pPr>
              <w:rPr>
                <w:rFonts w:ascii="Arial" w:hAnsi="Arial" w:cs="Arial"/>
              </w:rPr>
            </w:pPr>
            <w:r w:rsidRPr="006609FA">
              <w:rPr>
                <w:rFonts w:ascii="Arial" w:hAnsi="Arial" w:cs="Arial"/>
              </w:rPr>
              <w:t>Decree 1076/2015</w:t>
            </w:r>
            <w:r w:rsidRPr="006609FA">
              <w:rPr>
                <w:rStyle w:val="EndnoteReference"/>
                <w:rFonts w:ascii="Arial" w:hAnsi="Arial" w:cs="Arial"/>
              </w:rPr>
              <w:endnoteReference w:id="2"/>
            </w:r>
            <w:r w:rsidRPr="006609FA">
              <w:rPr>
                <w:rFonts w:ascii="Arial" w:hAnsi="Arial" w:cs="Arial"/>
              </w:rPr>
              <w:t>, art. 2.2, 2.2.3.2.5.3., 2.2.3.2.16.2.</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en-US" w:eastAsia="ja-JP"/>
              </w:rPr>
            </w:pPr>
            <w:r w:rsidRPr="006609FA">
              <w:rPr>
                <w:rFonts w:ascii="Arial" w:hAnsi="Arial" w:cs="Arial"/>
                <w:lang w:val="en-US" w:eastAsia="ja-JP"/>
              </w:rPr>
              <w:t>Occupation of rivers (channel and riverbeds)</w:t>
            </w:r>
          </w:p>
          <w:p w:rsidR="00E433E4" w:rsidRPr="006609FA" w:rsidRDefault="00E433E4" w:rsidP="00D858C3">
            <w:pPr>
              <w:ind w:left="30"/>
              <w:rPr>
                <w:rFonts w:ascii="Arial" w:hAnsi="Arial" w:cs="Arial"/>
                <w:i/>
                <w:lang w:eastAsia="ja-JP"/>
              </w:rPr>
            </w:pPr>
            <w:r w:rsidRPr="006609FA">
              <w:rPr>
                <w:rFonts w:ascii="Arial" w:hAnsi="Arial" w:cs="Arial"/>
                <w:i/>
                <w:lang w:eastAsia="ja-JP"/>
              </w:rPr>
              <w:t>(“Ocupación de cauces”)</w:t>
            </w:r>
          </w:p>
        </w:tc>
        <w:tc>
          <w:tcPr>
            <w:tcW w:w="3827" w:type="dxa"/>
          </w:tcPr>
          <w:p w:rsidR="00E433E4" w:rsidRPr="006609FA" w:rsidRDefault="00E433E4" w:rsidP="00D858C3">
            <w:pPr>
              <w:pStyle w:val="Default"/>
              <w:rPr>
                <w:rFonts w:ascii="Arial" w:hAnsi="Arial" w:cs="Arial"/>
                <w:color w:val="auto"/>
                <w:sz w:val="22"/>
                <w:szCs w:val="22"/>
              </w:rPr>
            </w:pPr>
            <w:r w:rsidRPr="006609FA">
              <w:rPr>
                <w:rFonts w:ascii="Arial" w:hAnsi="Arial" w:cs="Arial"/>
                <w:sz w:val="22"/>
                <w:szCs w:val="22"/>
                <w:lang w:val="es-ES"/>
              </w:rPr>
              <w:t xml:space="preserve">Decree </w:t>
            </w:r>
            <w:r w:rsidRPr="006609FA">
              <w:rPr>
                <w:rFonts w:ascii="Arial" w:hAnsi="Arial" w:cs="Arial"/>
                <w:color w:val="auto"/>
                <w:sz w:val="22"/>
                <w:szCs w:val="22"/>
              </w:rPr>
              <w:t xml:space="preserve">1076/2015, art. </w:t>
            </w:r>
          </w:p>
          <w:p w:rsidR="00E433E4" w:rsidRPr="006609FA" w:rsidRDefault="00E433E4" w:rsidP="00D858C3">
            <w:pPr>
              <w:pStyle w:val="Default"/>
              <w:rPr>
                <w:rFonts w:ascii="Arial" w:hAnsi="Arial" w:cs="Arial"/>
                <w:sz w:val="22"/>
                <w:szCs w:val="22"/>
              </w:rPr>
            </w:pPr>
            <w:r w:rsidRPr="006609FA">
              <w:rPr>
                <w:rFonts w:ascii="Arial" w:hAnsi="Arial" w:cs="Arial"/>
                <w:color w:val="auto"/>
                <w:sz w:val="22"/>
                <w:szCs w:val="22"/>
              </w:rPr>
              <w:t>2.2.3.3.5.8 and 2.2.2.3.5.1</w:t>
            </w:r>
          </w:p>
        </w:tc>
      </w:tr>
      <w:tr w:rsidR="00E433E4" w:rsidRPr="006609FA" w:rsidTr="00D858C3">
        <w:trPr>
          <w:trHeight w:val="680"/>
        </w:trPr>
        <w:tc>
          <w:tcPr>
            <w:tcW w:w="4390" w:type="dxa"/>
          </w:tcPr>
          <w:p w:rsidR="00E433E4" w:rsidRPr="006609FA" w:rsidRDefault="00E433E4" w:rsidP="00D858C3">
            <w:pPr>
              <w:rPr>
                <w:rFonts w:ascii="Arial" w:hAnsi="Arial" w:cs="Arial"/>
                <w:lang w:val="es-ES" w:eastAsia="ja-JP"/>
              </w:rPr>
            </w:pPr>
            <w:r w:rsidRPr="006609FA">
              <w:rPr>
                <w:rFonts w:ascii="Arial" w:hAnsi="Arial" w:cs="Arial"/>
                <w:lang w:val="es-ES" w:eastAsia="ja-JP"/>
              </w:rPr>
              <w:t>Groundwater use</w:t>
            </w:r>
          </w:p>
          <w:p w:rsidR="00E433E4" w:rsidRPr="006609FA" w:rsidRDefault="00E433E4" w:rsidP="00D858C3">
            <w:pPr>
              <w:rPr>
                <w:rFonts w:ascii="Arial" w:hAnsi="Arial" w:cs="Arial"/>
                <w:i/>
                <w:lang w:val="es-ES" w:eastAsia="ja-JP"/>
              </w:rPr>
            </w:pPr>
            <w:r w:rsidRPr="006609FA">
              <w:rPr>
                <w:rFonts w:ascii="Arial" w:hAnsi="Arial" w:cs="Arial"/>
                <w:i/>
                <w:lang w:val="es-ES" w:eastAsia="ja-JP"/>
              </w:rPr>
              <w:t>(“Permiso de prospección y explotación de aguas subterráneas”)</w:t>
            </w:r>
          </w:p>
        </w:tc>
        <w:tc>
          <w:tcPr>
            <w:tcW w:w="3827" w:type="dxa"/>
          </w:tcPr>
          <w:p w:rsidR="00E433E4" w:rsidRPr="006609FA" w:rsidRDefault="00E433E4" w:rsidP="00D858C3">
            <w:pPr>
              <w:rPr>
                <w:rFonts w:ascii="Arial" w:hAnsi="Arial" w:cs="Arial"/>
              </w:rPr>
            </w:pPr>
            <w:r w:rsidRPr="006609FA">
              <w:rPr>
                <w:rFonts w:ascii="Arial" w:hAnsi="Arial" w:cs="Arial"/>
                <w:lang w:val="es-ES"/>
              </w:rPr>
              <w:t>Decree 1076/2015, art. 2</w:t>
            </w:r>
            <w:r w:rsidRPr="006609FA">
              <w:rPr>
                <w:rFonts w:ascii="Arial" w:hAnsi="Arial" w:cs="Arial"/>
              </w:rPr>
              <w:t>.2.3.2.16.1, 2.2.3.2.16.4 and 2.2.3.2.1</w:t>
            </w:r>
          </w:p>
        </w:tc>
      </w:tr>
      <w:tr w:rsidR="00E433E4" w:rsidRPr="006609FA" w:rsidTr="00D858C3">
        <w:trPr>
          <w:trHeight w:val="680"/>
        </w:trPr>
        <w:tc>
          <w:tcPr>
            <w:tcW w:w="4390" w:type="dxa"/>
          </w:tcPr>
          <w:p w:rsidR="00E433E4" w:rsidRPr="006609FA" w:rsidRDefault="00E433E4" w:rsidP="00D858C3">
            <w:pPr>
              <w:ind w:left="30"/>
              <w:rPr>
                <w:rFonts w:ascii="Arial" w:hAnsi="Arial" w:cs="Arial"/>
                <w:lang w:eastAsia="ja-JP"/>
              </w:rPr>
            </w:pPr>
            <w:r w:rsidRPr="006609FA">
              <w:rPr>
                <w:rFonts w:ascii="Arial" w:hAnsi="Arial" w:cs="Arial"/>
                <w:lang w:eastAsia="ja-JP"/>
              </w:rPr>
              <w:t xml:space="preserve">Water discharges </w:t>
            </w:r>
          </w:p>
          <w:p w:rsidR="00E433E4" w:rsidRPr="006609FA" w:rsidRDefault="00E433E4" w:rsidP="00D858C3">
            <w:pPr>
              <w:ind w:left="30"/>
              <w:rPr>
                <w:rFonts w:ascii="Arial" w:hAnsi="Arial" w:cs="Arial"/>
                <w:i/>
                <w:lang w:eastAsia="ja-JP"/>
              </w:rPr>
            </w:pPr>
            <w:r w:rsidRPr="006609FA">
              <w:rPr>
                <w:rFonts w:ascii="Arial" w:hAnsi="Arial" w:cs="Arial"/>
                <w:i/>
                <w:lang w:eastAsia="ja-JP"/>
              </w:rPr>
              <w:t>(“Permiso de Vertimientos”)</w:t>
            </w:r>
          </w:p>
        </w:tc>
        <w:tc>
          <w:tcPr>
            <w:tcW w:w="3827" w:type="dxa"/>
          </w:tcPr>
          <w:p w:rsidR="00E433E4" w:rsidRPr="006609FA" w:rsidRDefault="00E433E4" w:rsidP="00D858C3">
            <w:pPr>
              <w:rPr>
                <w:rFonts w:ascii="Arial" w:hAnsi="Arial" w:cs="Arial"/>
              </w:rPr>
            </w:pPr>
            <w:r w:rsidRPr="006609FA">
              <w:rPr>
                <w:rFonts w:ascii="Arial" w:hAnsi="Arial" w:cs="Arial"/>
              </w:rPr>
              <w:t>Decree 1076/2015, art. 2.2.3.2.20.2 and 2.2.3.3.5.1</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es-ES" w:eastAsia="ja-JP"/>
              </w:rPr>
            </w:pPr>
            <w:r w:rsidRPr="006609FA">
              <w:rPr>
                <w:rFonts w:ascii="Arial" w:hAnsi="Arial" w:cs="Arial"/>
                <w:lang w:val="es-ES" w:eastAsia="ja-JP"/>
              </w:rPr>
              <w:t>Air emissions</w:t>
            </w:r>
          </w:p>
          <w:p w:rsidR="00E433E4" w:rsidRPr="006609FA" w:rsidRDefault="00E433E4" w:rsidP="00D858C3">
            <w:pPr>
              <w:ind w:left="30"/>
              <w:rPr>
                <w:rFonts w:ascii="Arial" w:hAnsi="Arial" w:cs="Arial"/>
                <w:i/>
                <w:lang w:val="es-ES" w:eastAsia="ja-JP"/>
              </w:rPr>
            </w:pPr>
            <w:r w:rsidRPr="006609FA">
              <w:rPr>
                <w:rFonts w:ascii="Arial" w:hAnsi="Arial" w:cs="Arial"/>
                <w:i/>
                <w:lang w:val="es-ES" w:eastAsia="ja-JP"/>
              </w:rPr>
              <w:t>(</w:t>
            </w:r>
            <w:r w:rsidRPr="006609FA">
              <w:rPr>
                <w:rFonts w:ascii="Arial" w:hAnsi="Arial" w:cs="Arial"/>
                <w:i/>
              </w:rPr>
              <w:t>“</w:t>
            </w:r>
            <w:r w:rsidRPr="006609FA">
              <w:rPr>
                <w:rFonts w:ascii="Arial" w:hAnsi="Arial" w:cs="Arial"/>
                <w:i/>
                <w:lang w:val="es-ES" w:eastAsia="ja-JP"/>
              </w:rPr>
              <w:t>Permiso de emisiones atmosféricas”)</w:t>
            </w:r>
          </w:p>
        </w:tc>
        <w:tc>
          <w:tcPr>
            <w:tcW w:w="3827" w:type="dxa"/>
          </w:tcPr>
          <w:p w:rsidR="00E433E4" w:rsidRPr="006609FA" w:rsidRDefault="00E433E4" w:rsidP="00D858C3">
            <w:pPr>
              <w:rPr>
                <w:rFonts w:ascii="Arial" w:hAnsi="Arial" w:cs="Arial"/>
              </w:rPr>
            </w:pPr>
            <w:r w:rsidRPr="006609FA">
              <w:rPr>
                <w:rFonts w:ascii="Arial" w:hAnsi="Arial" w:cs="Arial"/>
              </w:rPr>
              <w:t>Decree 1076/2015, art. 2.2.5.1.2.11 and 2.2.5.1.7.1</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pt-BR" w:eastAsia="ja-JP"/>
              </w:rPr>
            </w:pPr>
            <w:r w:rsidRPr="006609FA">
              <w:rPr>
                <w:rFonts w:ascii="Arial" w:hAnsi="Arial" w:cs="Arial"/>
                <w:lang w:val="pt-BR" w:eastAsia="ja-JP"/>
              </w:rPr>
              <w:t>Noise emissions</w:t>
            </w:r>
          </w:p>
          <w:p w:rsidR="00E433E4" w:rsidRPr="006609FA" w:rsidRDefault="00E433E4" w:rsidP="00D858C3">
            <w:pPr>
              <w:ind w:left="30"/>
              <w:rPr>
                <w:rFonts w:ascii="Arial" w:hAnsi="Arial" w:cs="Arial"/>
                <w:i/>
                <w:lang w:val="pt-BR" w:eastAsia="ja-JP"/>
              </w:rPr>
            </w:pPr>
            <w:r w:rsidRPr="006609FA">
              <w:rPr>
                <w:rFonts w:ascii="Arial" w:hAnsi="Arial" w:cs="Arial"/>
                <w:i/>
                <w:lang w:val="pt-BR" w:eastAsia="ja-JP"/>
              </w:rPr>
              <w:t>(“Permiso de ruídos”)</w:t>
            </w:r>
          </w:p>
        </w:tc>
        <w:tc>
          <w:tcPr>
            <w:tcW w:w="3827" w:type="dxa"/>
          </w:tcPr>
          <w:p w:rsidR="00E433E4" w:rsidRPr="006609FA" w:rsidRDefault="00E433E4" w:rsidP="00D858C3">
            <w:pPr>
              <w:rPr>
                <w:rFonts w:ascii="Arial" w:hAnsi="Arial" w:cs="Arial"/>
              </w:rPr>
            </w:pPr>
            <w:r w:rsidRPr="006609FA">
              <w:rPr>
                <w:rFonts w:ascii="Arial" w:hAnsi="Arial" w:cs="Arial"/>
              </w:rPr>
              <w:t>Decree 1076/2015, art. 2.2.5.1.7.17</w:t>
            </w:r>
          </w:p>
        </w:tc>
      </w:tr>
      <w:tr w:rsidR="00E433E4" w:rsidRPr="006609FA" w:rsidTr="00D858C3">
        <w:trPr>
          <w:trHeight w:val="680"/>
        </w:trPr>
        <w:tc>
          <w:tcPr>
            <w:tcW w:w="4390" w:type="dxa"/>
          </w:tcPr>
          <w:p w:rsidR="00E433E4" w:rsidRPr="006609FA" w:rsidRDefault="00E433E4" w:rsidP="00D858C3">
            <w:pPr>
              <w:ind w:left="30"/>
              <w:rPr>
                <w:rFonts w:ascii="Arial" w:hAnsi="Arial" w:cs="Arial"/>
                <w:lang w:eastAsia="ja-JP"/>
              </w:rPr>
            </w:pPr>
            <w:r w:rsidRPr="006609FA">
              <w:rPr>
                <w:rFonts w:ascii="Arial" w:hAnsi="Arial" w:cs="Arial"/>
                <w:lang w:eastAsia="ja-JP"/>
              </w:rPr>
              <w:t>Forest Harvesting</w:t>
            </w:r>
          </w:p>
          <w:p w:rsidR="00E433E4" w:rsidRPr="006609FA" w:rsidRDefault="00E433E4" w:rsidP="00D858C3">
            <w:pPr>
              <w:ind w:left="30"/>
              <w:rPr>
                <w:rFonts w:ascii="Arial" w:hAnsi="Arial" w:cs="Arial"/>
                <w:i/>
                <w:lang w:eastAsia="ja-JP"/>
              </w:rPr>
            </w:pPr>
            <w:r w:rsidRPr="006609FA">
              <w:rPr>
                <w:rFonts w:ascii="Arial" w:hAnsi="Arial" w:cs="Arial"/>
                <w:i/>
                <w:lang w:eastAsia="ja-JP"/>
              </w:rPr>
              <w:t>(“Permiso de aprovechamiento forestal”)</w:t>
            </w:r>
          </w:p>
        </w:tc>
        <w:tc>
          <w:tcPr>
            <w:tcW w:w="3827" w:type="dxa"/>
          </w:tcPr>
          <w:p w:rsidR="00E433E4" w:rsidRPr="006609FA" w:rsidRDefault="00E433E4" w:rsidP="00D858C3">
            <w:pPr>
              <w:rPr>
                <w:rFonts w:ascii="Arial" w:hAnsi="Arial" w:cs="Arial"/>
              </w:rPr>
            </w:pPr>
            <w:r w:rsidRPr="006609FA">
              <w:rPr>
                <w:rFonts w:ascii="Arial" w:hAnsi="Arial" w:cs="Arial"/>
              </w:rPr>
              <w:t>Decree 1076/2015, art. 2.2.1.1.17.10 and 2.2.1.1.5.3</w:t>
            </w:r>
          </w:p>
        </w:tc>
      </w:tr>
      <w:tr w:rsidR="00E433E4" w:rsidRPr="006609FA" w:rsidTr="00D858C3">
        <w:trPr>
          <w:trHeight w:val="680"/>
        </w:trPr>
        <w:tc>
          <w:tcPr>
            <w:tcW w:w="4390" w:type="dxa"/>
          </w:tcPr>
          <w:p w:rsidR="00E433E4" w:rsidRPr="006609FA" w:rsidRDefault="00E433E4" w:rsidP="00D858C3">
            <w:pPr>
              <w:ind w:left="30"/>
              <w:rPr>
                <w:rStyle w:val="Emphasis"/>
                <w:rFonts w:ascii="Arial" w:hAnsi="Arial" w:cs="Arial"/>
                <w:b/>
                <w:bCs/>
                <w:i w:val="0"/>
                <w:iCs w:val="0"/>
                <w:color w:val="6A6A6A"/>
                <w:shd w:val="clear" w:color="auto" w:fill="FFFFFF"/>
                <w:lang w:val="en-US"/>
              </w:rPr>
            </w:pPr>
            <w:r w:rsidRPr="006609FA">
              <w:rPr>
                <w:rFonts w:ascii="Arial" w:hAnsi="Arial" w:cs="Arial"/>
                <w:lang w:val="en-US" w:eastAsia="ja-JP"/>
              </w:rPr>
              <w:t>Harvesting of trees outside natural forest</w:t>
            </w:r>
          </w:p>
          <w:p w:rsidR="00E433E4" w:rsidRPr="006609FA" w:rsidRDefault="00E433E4" w:rsidP="00D858C3">
            <w:pPr>
              <w:ind w:left="30"/>
              <w:rPr>
                <w:rFonts w:ascii="Arial" w:hAnsi="Arial" w:cs="Arial"/>
                <w:lang w:eastAsia="ja-JP"/>
              </w:rPr>
            </w:pPr>
            <w:r w:rsidRPr="006609FA">
              <w:rPr>
                <w:rFonts w:ascii="Arial" w:hAnsi="Arial" w:cs="Arial"/>
                <w:i/>
                <w:lang w:eastAsia="ja-JP"/>
              </w:rPr>
              <w:t>(“Permiso de aprovechamiento árboles aislados de bosques naturales”)</w:t>
            </w:r>
          </w:p>
        </w:tc>
        <w:tc>
          <w:tcPr>
            <w:tcW w:w="3827" w:type="dxa"/>
          </w:tcPr>
          <w:p w:rsidR="00E433E4" w:rsidRPr="006609FA" w:rsidRDefault="00E433E4" w:rsidP="00D858C3">
            <w:pPr>
              <w:rPr>
                <w:rFonts w:ascii="Arial" w:hAnsi="Arial" w:cs="Arial"/>
              </w:rPr>
            </w:pPr>
            <w:r w:rsidRPr="006609FA">
              <w:rPr>
                <w:rFonts w:ascii="Arial" w:hAnsi="Arial" w:cs="Arial"/>
              </w:rPr>
              <w:t>Decree 1076/2015, art. 2.2.1.1.9.1</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en-US" w:eastAsia="ja-JP"/>
              </w:rPr>
            </w:pPr>
            <w:r w:rsidRPr="006609FA">
              <w:rPr>
                <w:rFonts w:ascii="Arial" w:hAnsi="Arial" w:cs="Arial"/>
                <w:lang w:val="en-US" w:eastAsia="ja-JP"/>
              </w:rPr>
              <w:t>Hazardous waste treatment, storage and disposal</w:t>
            </w:r>
          </w:p>
          <w:p w:rsidR="00E433E4" w:rsidRPr="006609FA" w:rsidRDefault="00E433E4" w:rsidP="00D858C3">
            <w:pPr>
              <w:ind w:left="30"/>
              <w:rPr>
                <w:rFonts w:ascii="Arial" w:hAnsi="Arial" w:cs="Arial"/>
                <w:i/>
                <w:lang w:val="es-ES" w:eastAsia="ja-JP"/>
              </w:rPr>
            </w:pPr>
            <w:r w:rsidRPr="006609FA">
              <w:rPr>
                <w:rFonts w:ascii="Arial" w:hAnsi="Arial" w:cs="Arial"/>
                <w:i/>
                <w:lang w:val="es-ES" w:eastAsia="ja-JP"/>
              </w:rPr>
              <w:t>(“Permiso de residuos peligrosos”)</w:t>
            </w:r>
          </w:p>
        </w:tc>
        <w:tc>
          <w:tcPr>
            <w:tcW w:w="3827" w:type="dxa"/>
          </w:tcPr>
          <w:p w:rsidR="00E433E4" w:rsidRPr="006609FA" w:rsidRDefault="00E433E4" w:rsidP="00D858C3">
            <w:pPr>
              <w:rPr>
                <w:rFonts w:ascii="Arial" w:hAnsi="Arial" w:cs="Arial"/>
              </w:rPr>
            </w:pPr>
            <w:r w:rsidRPr="006609FA">
              <w:rPr>
                <w:rFonts w:ascii="Arial" w:hAnsi="Arial" w:cs="Arial"/>
              </w:rPr>
              <w:t>Decree 1076/2015, art. 2.2.6.1.2.1</w:t>
            </w:r>
          </w:p>
        </w:tc>
      </w:tr>
      <w:tr w:rsidR="00E433E4" w:rsidRPr="006609FA" w:rsidTr="00D858C3">
        <w:trPr>
          <w:trHeight w:val="680"/>
        </w:trPr>
        <w:tc>
          <w:tcPr>
            <w:tcW w:w="4390" w:type="dxa"/>
          </w:tcPr>
          <w:p w:rsidR="00E433E4" w:rsidRPr="006609FA" w:rsidRDefault="00E433E4" w:rsidP="00D858C3">
            <w:pPr>
              <w:ind w:left="30"/>
              <w:rPr>
                <w:rFonts w:ascii="Arial" w:hAnsi="Arial" w:cs="Arial"/>
                <w:lang w:val="en-US" w:eastAsia="ja-JP"/>
              </w:rPr>
            </w:pPr>
            <w:r w:rsidRPr="006609FA">
              <w:rPr>
                <w:rFonts w:ascii="Arial" w:hAnsi="Arial" w:cs="Arial"/>
                <w:lang w:val="en-US" w:eastAsia="ja-JP"/>
              </w:rPr>
              <w:t>Use of natural resources in natural reserve parks</w:t>
            </w:r>
          </w:p>
          <w:p w:rsidR="00E433E4" w:rsidRPr="006609FA" w:rsidRDefault="00E433E4" w:rsidP="00D858C3">
            <w:pPr>
              <w:ind w:left="30"/>
              <w:rPr>
                <w:rFonts w:ascii="Arial" w:hAnsi="Arial" w:cs="Arial"/>
                <w:lang w:val="es-ES" w:eastAsia="ja-JP"/>
              </w:rPr>
            </w:pPr>
            <w:r w:rsidRPr="006609FA">
              <w:rPr>
                <w:rFonts w:ascii="Arial" w:hAnsi="Arial" w:cs="Arial"/>
                <w:lang w:val="es-ES" w:eastAsia="ja-JP"/>
              </w:rPr>
              <w:t>(</w:t>
            </w:r>
            <w:r w:rsidRPr="006609FA">
              <w:rPr>
                <w:rFonts w:ascii="Arial" w:hAnsi="Arial" w:cs="Arial"/>
                <w:i/>
                <w:lang w:val="es-ES" w:eastAsia="ja-JP"/>
              </w:rPr>
              <w:t>“Permiso de uso y aprovechamiento de los recursos naturales renovables”)</w:t>
            </w:r>
          </w:p>
        </w:tc>
        <w:tc>
          <w:tcPr>
            <w:tcW w:w="3827" w:type="dxa"/>
          </w:tcPr>
          <w:p w:rsidR="00E433E4" w:rsidRPr="006609FA" w:rsidRDefault="00E433E4" w:rsidP="00D858C3">
            <w:pPr>
              <w:autoSpaceDE w:val="0"/>
              <w:autoSpaceDN w:val="0"/>
              <w:adjustRightInd w:val="0"/>
              <w:rPr>
                <w:rFonts w:ascii="Arial" w:hAnsi="Arial" w:cs="Arial"/>
                <w:lang w:val="en-US"/>
              </w:rPr>
            </w:pPr>
            <w:r w:rsidRPr="006609FA">
              <w:rPr>
                <w:rFonts w:ascii="Arial" w:hAnsi="Arial" w:cs="Arial"/>
                <w:lang w:val="en-US"/>
              </w:rPr>
              <w:t>Decree 1076/2015, art. 1.1.2.1.1</w:t>
            </w:r>
          </w:p>
          <w:p w:rsidR="00E433E4" w:rsidRPr="006609FA" w:rsidRDefault="00E433E4" w:rsidP="00D858C3">
            <w:pPr>
              <w:autoSpaceDE w:val="0"/>
              <w:autoSpaceDN w:val="0"/>
              <w:adjustRightInd w:val="0"/>
              <w:rPr>
                <w:rFonts w:ascii="Arial" w:hAnsi="Arial" w:cs="Arial"/>
                <w:lang w:val="en-US"/>
              </w:rPr>
            </w:pPr>
            <w:r w:rsidRPr="006609FA">
              <w:rPr>
                <w:rFonts w:ascii="Arial" w:hAnsi="Arial" w:cs="Arial"/>
                <w:lang w:val="en-US"/>
              </w:rPr>
              <w:t>(This permit is granted by the national department responsible for the management of natural reserve parks.)</w:t>
            </w:r>
          </w:p>
        </w:tc>
      </w:tr>
    </w:tbl>
    <w:p w:rsidR="008A43EC" w:rsidRPr="006609FA" w:rsidRDefault="008A43EC" w:rsidP="000549BD">
      <w:pPr>
        <w:tabs>
          <w:tab w:val="left" w:pos="810"/>
        </w:tabs>
        <w:suppressAutoHyphens/>
        <w:autoSpaceDN w:val="0"/>
        <w:spacing w:before="120" w:after="120" w:line="240" w:lineRule="auto"/>
        <w:jc w:val="both"/>
        <w:textAlignment w:val="baseline"/>
        <w:outlineLvl w:val="1"/>
        <w:rPr>
          <w:rFonts w:ascii="Arial" w:eastAsia="Times New Roman" w:hAnsi="Arial" w:cs="Arial"/>
          <w:highlight w:val="yellow"/>
        </w:rPr>
      </w:pPr>
    </w:p>
    <w:sectPr w:rsidR="008A43EC" w:rsidRPr="006609F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6E5" w:rsidRDefault="001726E5" w:rsidP="00F01B9A">
      <w:pPr>
        <w:spacing w:after="0" w:line="240" w:lineRule="auto"/>
      </w:pPr>
      <w:r>
        <w:separator/>
      </w:r>
    </w:p>
  </w:endnote>
  <w:endnote w:type="continuationSeparator" w:id="0">
    <w:p w:rsidR="001726E5" w:rsidRDefault="001726E5" w:rsidP="00F01B9A">
      <w:pPr>
        <w:spacing w:after="0" w:line="240" w:lineRule="auto"/>
      </w:pPr>
      <w:r>
        <w:continuationSeparator/>
      </w:r>
    </w:p>
  </w:endnote>
  <w:endnote w:id="1">
    <w:p w:rsidR="000549BD" w:rsidRDefault="000549BD" w:rsidP="000549BD">
      <w:pPr>
        <w:pStyle w:val="EndnoteText"/>
        <w:jc w:val="both"/>
        <w:rPr>
          <w:sz w:val="24"/>
          <w:szCs w:val="24"/>
          <w:lang w:val="es-ES"/>
        </w:rPr>
      </w:pPr>
    </w:p>
    <w:p w:rsidR="000549BD" w:rsidRPr="005E4C7F" w:rsidRDefault="000549BD" w:rsidP="000549BD">
      <w:pPr>
        <w:pStyle w:val="EndnoteText"/>
        <w:jc w:val="both"/>
        <w:rPr>
          <w:rFonts w:ascii="Arial" w:hAnsi="Arial" w:cs="Arial"/>
          <w:sz w:val="22"/>
          <w:szCs w:val="22"/>
          <w:lang w:val="es-ES"/>
        </w:rPr>
      </w:pPr>
    </w:p>
  </w:endnote>
  <w:endnote w:id="2">
    <w:p w:rsidR="005E4C7F" w:rsidRDefault="005E4C7F" w:rsidP="00E433E4">
      <w:pPr>
        <w:pStyle w:val="EndnoteText"/>
        <w:jc w:val="both"/>
        <w:rPr>
          <w:sz w:val="24"/>
          <w:szCs w:val="24"/>
          <w:lang w:val="es-ES"/>
        </w:rPr>
      </w:pPr>
    </w:p>
    <w:p w:rsidR="005E4C7F" w:rsidRPr="005E4C7F" w:rsidRDefault="005E4C7F" w:rsidP="005E4C7F">
      <w:pPr>
        <w:pStyle w:val="EndnoteText"/>
        <w:jc w:val="both"/>
        <w:rPr>
          <w:rFonts w:ascii="Arial" w:hAnsi="Arial" w:cs="Arial"/>
          <w:sz w:val="22"/>
          <w:szCs w:val="22"/>
          <w:lang w:val="es-E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3836570"/>
      <w:docPartObj>
        <w:docPartGallery w:val="Page Numbers (Bottom of Page)"/>
        <w:docPartUnique/>
      </w:docPartObj>
    </w:sdtPr>
    <w:sdtEndPr>
      <w:rPr>
        <w:color w:val="808080" w:themeColor="background1" w:themeShade="80"/>
        <w:spacing w:val="60"/>
      </w:rPr>
    </w:sdtEndPr>
    <w:sdtContent>
      <w:p w:rsidR="00B94F95" w:rsidRDefault="00B94F95" w:rsidP="007E1F82">
        <w:pPr>
          <w:pStyle w:val="Footer"/>
          <w:pBdr>
            <w:top w:val="single" w:sz="4" w:space="1" w:color="D9D9D9" w:themeColor="background1" w:themeShade="D9"/>
          </w:pBdr>
          <w:tabs>
            <w:tab w:val="left" w:pos="6349"/>
          </w:tabs>
        </w:pPr>
        <w:r>
          <w:tab/>
        </w:r>
        <w:r>
          <w:tab/>
        </w:r>
        <w:r>
          <w:tab/>
        </w:r>
        <w:r w:rsidRPr="00BB52F3">
          <w:rPr>
            <w:rFonts w:ascii="Arial" w:hAnsi="Arial" w:cs="Arial"/>
            <w:sz w:val="20"/>
            <w:szCs w:val="20"/>
          </w:rPr>
          <w:fldChar w:fldCharType="begin"/>
        </w:r>
        <w:r w:rsidRPr="00BB52F3">
          <w:rPr>
            <w:rFonts w:ascii="Arial" w:hAnsi="Arial" w:cs="Arial"/>
            <w:sz w:val="20"/>
            <w:szCs w:val="20"/>
          </w:rPr>
          <w:instrText xml:space="preserve"> PAGE   \* MERGEFORMAT </w:instrText>
        </w:r>
        <w:r w:rsidRPr="00BB52F3">
          <w:rPr>
            <w:rFonts w:ascii="Arial" w:hAnsi="Arial" w:cs="Arial"/>
            <w:sz w:val="20"/>
            <w:szCs w:val="20"/>
          </w:rPr>
          <w:fldChar w:fldCharType="separate"/>
        </w:r>
        <w:r w:rsidR="00A11F18">
          <w:rPr>
            <w:rFonts w:ascii="Arial" w:hAnsi="Arial" w:cs="Arial"/>
            <w:noProof/>
            <w:sz w:val="20"/>
            <w:szCs w:val="20"/>
          </w:rPr>
          <w:t>11</w:t>
        </w:r>
        <w:r w:rsidRPr="00BB52F3">
          <w:rPr>
            <w:rFonts w:ascii="Arial" w:hAnsi="Arial" w:cs="Arial"/>
            <w:noProof/>
            <w:sz w:val="20"/>
            <w:szCs w:val="20"/>
          </w:rPr>
          <w:fldChar w:fldCharType="end"/>
        </w:r>
        <w:r w:rsidRPr="00BB52F3">
          <w:rPr>
            <w:rFonts w:ascii="Arial" w:hAnsi="Arial" w:cs="Arial"/>
            <w:sz w:val="20"/>
            <w:szCs w:val="20"/>
          </w:rPr>
          <w:t xml:space="preserve"> | </w:t>
        </w:r>
        <w:r>
          <w:rPr>
            <w:rFonts w:ascii="Arial" w:hAnsi="Arial" w:cs="Arial"/>
            <w:spacing w:val="60"/>
            <w:sz w:val="20"/>
            <w:szCs w:val="20"/>
          </w:rPr>
          <w:t>P</w:t>
        </w:r>
        <w:r w:rsidRPr="00BB52F3">
          <w:rPr>
            <w:rFonts w:ascii="Arial" w:hAnsi="Arial" w:cs="Arial"/>
            <w:spacing w:val="60"/>
            <w:sz w:val="20"/>
            <w:szCs w:val="20"/>
          </w:rPr>
          <w:t>age</w:t>
        </w:r>
      </w:p>
    </w:sdtContent>
  </w:sdt>
  <w:p w:rsidR="00B94F95" w:rsidRDefault="00B94F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6E5" w:rsidRDefault="001726E5" w:rsidP="00F01B9A">
      <w:pPr>
        <w:spacing w:after="0" w:line="240" w:lineRule="auto"/>
      </w:pPr>
      <w:r>
        <w:separator/>
      </w:r>
    </w:p>
  </w:footnote>
  <w:footnote w:type="continuationSeparator" w:id="0">
    <w:p w:rsidR="001726E5" w:rsidRDefault="001726E5" w:rsidP="00F01B9A">
      <w:pPr>
        <w:spacing w:after="0" w:line="240" w:lineRule="auto"/>
      </w:pPr>
      <w:r>
        <w:continuationSeparator/>
      </w:r>
    </w:p>
  </w:footnote>
  <w:footnote w:id="1">
    <w:p w:rsidR="00B94F95" w:rsidRPr="006609FA" w:rsidRDefault="00B94F95" w:rsidP="006609FA">
      <w:pPr>
        <w:pStyle w:val="FootnoteText"/>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lang w:val="es-ES_tradnl"/>
        </w:rPr>
        <w:t xml:space="preserve"> Directiva Presidencial 010 de 2013 :Guía para la realizacion de Consulta Previa con Comunidades Etnicas. </w:t>
      </w:r>
      <w:r w:rsidRPr="006609FA">
        <w:rPr>
          <w:rFonts w:ascii="Arial" w:hAnsi="Arial" w:cs="Arial"/>
          <w:sz w:val="18"/>
          <w:szCs w:val="18"/>
        </w:rPr>
        <w:t>_ _</w:t>
      </w:r>
    </w:p>
  </w:footnote>
  <w:footnote w:id="2">
    <w:p w:rsidR="00B94F95" w:rsidRPr="006609FA" w:rsidRDefault="00B94F95" w:rsidP="006609FA">
      <w:pPr>
        <w:spacing w:after="0" w:line="240" w:lineRule="auto"/>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sz w:val="18"/>
          <w:szCs w:val="18"/>
        </w:rPr>
        <w:tab/>
        <w:t>This does not apply to borrowers who are not substantially involved in these activities. “Not substantially involved” means that the activity concerned is ancillary to a project sponsor’s primary operations.</w:t>
      </w:r>
    </w:p>
  </w:footnote>
  <w:footnote w:id="3">
    <w:p w:rsidR="00B94F95" w:rsidRPr="006609FA" w:rsidRDefault="00B94F95" w:rsidP="006609FA">
      <w:pPr>
        <w:spacing w:after="0" w:line="240" w:lineRule="auto"/>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sz w:val="18"/>
          <w:szCs w:val="18"/>
        </w:rPr>
        <w:tab/>
        <w:t>This does not apply to borrowers who are not substantially involved in these activities. “Not substantially involved” means that the activity concerned is ancillary to a project sponsor’s primary operations.</w:t>
      </w:r>
    </w:p>
  </w:footnote>
  <w:footnote w:id="4">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sz w:val="18"/>
          <w:szCs w:val="18"/>
        </w:rPr>
        <w:tab/>
      </w:r>
      <w:r w:rsidRPr="006609FA">
        <w:rPr>
          <w:rFonts w:ascii="Arial" w:hAnsi="Arial" w:cs="Arial"/>
          <w:color w:val="0000FF"/>
          <w:sz w:val="18"/>
          <w:szCs w:val="18"/>
        </w:rPr>
        <w:t>www.cites.org</w:t>
      </w:r>
      <w:r w:rsidRPr="006609FA">
        <w:rPr>
          <w:rFonts w:ascii="Arial" w:hAnsi="Arial" w:cs="Arial"/>
          <w:color w:val="000000"/>
          <w:sz w:val="18"/>
          <w:szCs w:val="18"/>
        </w:rPr>
        <w:t>.</w:t>
      </w:r>
    </w:p>
  </w:footnote>
  <w:footnote w:id="5">
    <w:p w:rsidR="00B94F95" w:rsidRPr="006609FA" w:rsidRDefault="00B94F95" w:rsidP="006609FA">
      <w:pPr>
        <w:spacing w:after="0" w:line="240" w:lineRule="auto"/>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ab/>
        <w:t xml:space="preserve"> This does not apply to the purchase of medical equipment, quality control (measurement) equipment and any equipment where it can be demonstrated that the radioactive source is to be trivial and/or adequately shielded.</w:t>
      </w:r>
    </w:p>
  </w:footnote>
  <w:footnote w:id="6">
    <w:p w:rsidR="00B94F95" w:rsidRPr="006609FA" w:rsidRDefault="00B94F95" w:rsidP="006609FA">
      <w:pPr>
        <w:spacing w:after="0" w:line="240" w:lineRule="auto"/>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sz w:val="18"/>
          <w:szCs w:val="18"/>
        </w:rPr>
        <w:tab/>
      </w:r>
      <w:r w:rsidRPr="006609FA">
        <w:rPr>
          <w:rFonts w:ascii="Arial" w:hAnsi="Arial" w:cs="Arial"/>
          <w:color w:val="000000"/>
          <w:sz w:val="18"/>
          <w:szCs w:val="18"/>
        </w:rPr>
        <w:t>This does not apply to the purchase and use of bonded asbestos cement sheeting where the asbestos content is &lt;20%.</w:t>
      </w:r>
    </w:p>
  </w:footnote>
  <w:footnote w:id="7">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color w:val="000000"/>
          <w:sz w:val="18"/>
          <w:szCs w:val="18"/>
        </w:rPr>
        <w:t xml:space="preserve">Pharmaceutical products subject to phase outs or bans in United Nations, </w:t>
      </w:r>
      <w:r w:rsidRPr="006609FA">
        <w:rPr>
          <w:rFonts w:ascii="Arial" w:hAnsi="Arial" w:cs="Arial"/>
          <w:i/>
          <w:iCs/>
          <w:color w:val="000000"/>
          <w:sz w:val="18"/>
          <w:szCs w:val="18"/>
        </w:rPr>
        <w:t>Banned Products: Consolidated List of Products Whose Consumption and/or Sale Have Been Banned, Withdrawn, Severely Restricted or not Approved by Governments</w:t>
      </w:r>
      <w:r w:rsidRPr="006609FA">
        <w:rPr>
          <w:rFonts w:ascii="Arial" w:hAnsi="Arial" w:cs="Arial"/>
          <w:color w:val="000000"/>
          <w:sz w:val="18"/>
          <w:szCs w:val="18"/>
        </w:rPr>
        <w:t xml:space="preserve">.  (Last version 2001, </w:t>
      </w:r>
      <w:r w:rsidRPr="006609FA">
        <w:rPr>
          <w:rFonts w:ascii="Arial" w:hAnsi="Arial" w:cs="Arial"/>
          <w:color w:val="0000FF"/>
          <w:sz w:val="18"/>
          <w:szCs w:val="18"/>
        </w:rPr>
        <w:t>www.who.int/medicines/library/qsm/edm-qsm-2001-3/edm-qsm-2001_3.pdf</w:t>
      </w:r>
      <w:r w:rsidRPr="006609FA">
        <w:rPr>
          <w:rFonts w:ascii="Arial" w:hAnsi="Arial" w:cs="Arial"/>
          <w:color w:val="000000"/>
          <w:sz w:val="18"/>
          <w:szCs w:val="18"/>
        </w:rPr>
        <w:t>).</w:t>
      </w:r>
    </w:p>
  </w:footnote>
  <w:footnote w:id="8">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006609FA">
        <w:rPr>
          <w:rFonts w:ascii="Arial" w:hAnsi="Arial" w:cs="Arial"/>
          <w:sz w:val="18"/>
          <w:szCs w:val="18"/>
        </w:rPr>
        <w:t xml:space="preserve"> </w:t>
      </w:r>
      <w:r w:rsidRPr="006609FA">
        <w:rPr>
          <w:rFonts w:ascii="Arial" w:hAnsi="Arial" w:cs="Arial"/>
          <w:color w:val="000000"/>
          <w:sz w:val="18"/>
          <w:szCs w:val="18"/>
        </w:rPr>
        <w:t>Pesticides and herbicides subject to phase outs or bans included in both the Rotterdam Convention (</w:t>
      </w:r>
      <w:r w:rsidRPr="006609FA">
        <w:rPr>
          <w:rFonts w:ascii="Arial" w:hAnsi="Arial" w:cs="Arial"/>
          <w:color w:val="0000FF"/>
          <w:sz w:val="18"/>
          <w:szCs w:val="18"/>
        </w:rPr>
        <w:t>www.pic.int</w:t>
      </w:r>
      <w:r w:rsidRPr="006609FA">
        <w:rPr>
          <w:rFonts w:ascii="Arial" w:hAnsi="Arial" w:cs="Arial"/>
          <w:color w:val="000000"/>
          <w:sz w:val="18"/>
          <w:szCs w:val="18"/>
        </w:rPr>
        <w:t>) and the Stockholm Convention (</w:t>
      </w:r>
      <w:r w:rsidRPr="006609FA">
        <w:rPr>
          <w:rFonts w:ascii="Arial" w:hAnsi="Arial" w:cs="Arial"/>
          <w:color w:val="0000FF"/>
          <w:sz w:val="18"/>
          <w:szCs w:val="18"/>
        </w:rPr>
        <w:t>www.pops.int</w:t>
      </w:r>
      <w:r w:rsidRPr="006609FA">
        <w:rPr>
          <w:rFonts w:ascii="Arial" w:hAnsi="Arial" w:cs="Arial"/>
          <w:color w:val="000000"/>
          <w:sz w:val="18"/>
          <w:szCs w:val="18"/>
        </w:rPr>
        <w:t>).</w:t>
      </w:r>
    </w:p>
  </w:footnote>
  <w:footnote w:id="9">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006609FA">
        <w:rPr>
          <w:rFonts w:ascii="Arial" w:hAnsi="Arial" w:cs="Arial"/>
          <w:sz w:val="18"/>
          <w:szCs w:val="18"/>
        </w:rPr>
        <w:t xml:space="preserve"> </w:t>
      </w:r>
      <w:r w:rsidRPr="006609FA">
        <w:rPr>
          <w:rFonts w:ascii="Arial" w:hAnsi="Arial" w:cs="Arial"/>
          <w:color w:val="000000"/>
          <w:sz w:val="18"/>
          <w:szCs w:val="18"/>
        </w:rPr>
        <w:t>Ozone Depleting Substances (ODSs) are chemical compounds which react with and deplete stratospheric ozone, resulting in the widely publicized ‘ozone holes’.  The Montreal Protocol lists ODSs and their target reduction and phase out dates.  The chemical compounds regulated by the Montreal Protocol include aerosols, refrigerants, foam blowing agents, solvents, and fire protection agents.  (</w:t>
      </w:r>
      <w:r w:rsidRPr="006609FA">
        <w:rPr>
          <w:rFonts w:ascii="Arial" w:hAnsi="Arial" w:cs="Arial"/>
          <w:color w:val="0000FF"/>
          <w:sz w:val="18"/>
          <w:szCs w:val="18"/>
        </w:rPr>
        <w:t>www.unep.org/ozone/montreal.shtml</w:t>
      </w:r>
      <w:r w:rsidRPr="006609FA">
        <w:rPr>
          <w:rFonts w:ascii="Arial" w:hAnsi="Arial" w:cs="Arial"/>
          <w:color w:val="000000"/>
          <w:sz w:val="18"/>
          <w:szCs w:val="18"/>
        </w:rPr>
        <w:t>).</w:t>
      </w:r>
    </w:p>
  </w:footnote>
  <w:footnote w:id="10">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color w:val="000000"/>
          <w:sz w:val="18"/>
          <w:szCs w:val="18"/>
        </w:rPr>
        <w:t>Defined by the Basel Convention (</w:t>
      </w:r>
      <w:r w:rsidRPr="006609FA">
        <w:rPr>
          <w:rFonts w:ascii="Arial" w:hAnsi="Arial" w:cs="Arial"/>
          <w:color w:val="0000FF"/>
          <w:sz w:val="18"/>
          <w:szCs w:val="18"/>
        </w:rPr>
        <w:t>www.basel.int</w:t>
      </w:r>
      <w:r w:rsidRPr="006609FA">
        <w:rPr>
          <w:rFonts w:ascii="Arial" w:hAnsi="Arial" w:cs="Arial"/>
          <w:color w:val="000000"/>
          <w:sz w:val="18"/>
          <w:szCs w:val="18"/>
        </w:rPr>
        <w:t>).</w:t>
      </w:r>
    </w:p>
  </w:footnote>
  <w:footnote w:id="11">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color w:val="000000"/>
          <w:sz w:val="18"/>
          <w:szCs w:val="18"/>
        </w:rPr>
        <w:t>Defined by the International Convention on the reduction and elimination of persistent organic pollutants (POPs)(September 1999) and presently include the pesticides aldrin, chlordane, dieldrin, endrin, heptachlor, mirex, and toxaphene, as well as the industrial chemical chlorobenzene (</w:t>
      </w:r>
      <w:r w:rsidRPr="006609FA">
        <w:rPr>
          <w:rFonts w:ascii="Arial" w:hAnsi="Arial" w:cs="Arial"/>
          <w:color w:val="0000FF"/>
          <w:sz w:val="18"/>
          <w:szCs w:val="18"/>
        </w:rPr>
        <w:t>www.pops.int</w:t>
      </w:r>
      <w:r w:rsidRPr="006609FA">
        <w:rPr>
          <w:rFonts w:ascii="Arial" w:hAnsi="Arial" w:cs="Arial"/>
          <w:color w:val="000000"/>
          <w:sz w:val="18"/>
          <w:szCs w:val="18"/>
        </w:rPr>
        <w:t>).</w:t>
      </w:r>
    </w:p>
  </w:footnote>
  <w:footnote w:id="12">
    <w:p w:rsidR="00B94F95" w:rsidRPr="006609FA" w:rsidRDefault="00B94F95" w:rsidP="006609FA">
      <w:pPr>
        <w:pStyle w:val="FootnoteText"/>
        <w:ind w:left="180" w:hanging="180"/>
        <w:rPr>
          <w:rFonts w:ascii="Arial" w:hAnsi="Arial" w:cs="Arial"/>
          <w:sz w:val="18"/>
          <w:szCs w:val="18"/>
        </w:rPr>
      </w:pPr>
      <w:r w:rsidRPr="006609FA">
        <w:rPr>
          <w:rStyle w:val="FootnoteReference"/>
          <w:rFonts w:ascii="Arial" w:hAnsi="Arial" w:cs="Arial"/>
          <w:sz w:val="18"/>
          <w:szCs w:val="18"/>
        </w:rPr>
        <w:footnoteRef/>
      </w:r>
      <w:r w:rsidRPr="006609FA">
        <w:rPr>
          <w:rFonts w:ascii="Arial" w:hAnsi="Arial" w:cs="Arial"/>
          <w:sz w:val="18"/>
          <w:szCs w:val="18"/>
        </w:rPr>
        <w:t xml:space="preserve"> </w:t>
      </w:r>
      <w:r w:rsidRPr="006609FA">
        <w:rPr>
          <w:rFonts w:ascii="Arial" w:hAnsi="Arial" w:cs="Arial"/>
          <w:color w:val="000000"/>
          <w:sz w:val="18"/>
          <w:szCs w:val="18"/>
        </w:rPr>
        <w:t xml:space="preserve">Fundamental Principles and Rights at Work means (i) freedom of association and the effective recognition of the right to collective bargaining; (ii) prohibition of all forms of forced or compulsory labor; (iii) prohibition of child labor, including without limitation the prohibition of persons under 18 from working in hazardous conditions (which includes construction activities), persons under 18 from working at night, and that persons under 18 be found fit to work via medical examination; (iv) elimination of discrimination in respect of employment and occupation, where discrimination is defined as any distinction, exclusion or preference based on race, color, sex, religion, political opinion, national extraction, or social origin. (International Labor Organization: </w:t>
      </w:r>
      <w:r w:rsidRPr="006609FA">
        <w:rPr>
          <w:rFonts w:ascii="Arial" w:hAnsi="Arial" w:cs="Arial"/>
          <w:color w:val="0000FF"/>
          <w:sz w:val="18"/>
          <w:szCs w:val="18"/>
        </w:rPr>
        <w:t>www.ilo.org</w:t>
      </w:r>
      <w:r w:rsidRPr="006609FA">
        <w:rPr>
          <w:rFonts w:ascii="Arial" w:hAnsi="Arial" w:cs="Arial"/>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F95" w:rsidRPr="00F60DF1" w:rsidRDefault="00B94F95" w:rsidP="00CE518B">
    <w:pPr>
      <w:pStyle w:val="Header"/>
      <w:jc w:val="right"/>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7DD"/>
    <w:multiLevelType w:val="hybridMultilevel"/>
    <w:tmpl w:val="2A1CDE46"/>
    <w:lvl w:ilvl="0" w:tplc="6540E76E">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F4BB7"/>
    <w:multiLevelType w:val="hybridMultilevel"/>
    <w:tmpl w:val="C2D03892"/>
    <w:lvl w:ilvl="0" w:tplc="E5E885DC">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65A51"/>
    <w:multiLevelType w:val="hybridMultilevel"/>
    <w:tmpl w:val="47B0B2A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DAB7FC9"/>
    <w:multiLevelType w:val="multilevel"/>
    <w:tmpl w:val="77406448"/>
    <w:lvl w:ilvl="0">
      <w:start w:val="1"/>
      <w:numFmt w:val="upperRoman"/>
      <w:lvlText w:val="%1."/>
      <w:lvlJc w:val="center"/>
      <w:pPr>
        <w:tabs>
          <w:tab w:val="num" w:pos="3510"/>
        </w:tabs>
        <w:ind w:left="2862" w:firstLine="288"/>
      </w:pPr>
      <w:rPr>
        <w:rFonts w:hint="default"/>
        <w:b/>
        <w:i w:val="0"/>
        <w:sz w:val="24"/>
        <w:szCs w:val="24"/>
      </w:rPr>
    </w:lvl>
    <w:lvl w:ilvl="1">
      <w:start w:val="1"/>
      <w:numFmt w:val="decimal"/>
      <w:lvlText w:val="2.%2"/>
      <w:lvlJc w:val="left"/>
      <w:pPr>
        <w:tabs>
          <w:tab w:val="num" w:pos="720"/>
        </w:tabs>
        <w:ind w:left="720" w:hanging="720"/>
      </w:pPr>
      <w:rPr>
        <w:rFonts w:hint="default"/>
      </w:rPr>
    </w:lvl>
    <w:lvl w:ilvl="2">
      <w:start w:val="1"/>
      <w:numFmt w:val="lowerLetter"/>
      <w:lvlText w:val="%3."/>
      <w:lvlJc w:val="left"/>
      <w:pPr>
        <w:tabs>
          <w:tab w:val="num" w:pos="3582"/>
        </w:tabs>
        <w:ind w:left="3582" w:hanging="432"/>
      </w:pPr>
      <w:rPr>
        <w:rFonts w:hint="default"/>
      </w:rPr>
    </w:lvl>
    <w:lvl w:ilvl="3">
      <w:start w:val="1"/>
      <w:numFmt w:val="lowerRoman"/>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4">
    <w:nsid w:val="0DDD0205"/>
    <w:multiLevelType w:val="hybridMultilevel"/>
    <w:tmpl w:val="4DC4B646"/>
    <w:lvl w:ilvl="0" w:tplc="0D2EF6A2">
      <w:start w:val="1"/>
      <w:numFmt w:val="lowerLetter"/>
      <w:lvlText w:val="(%1)"/>
      <w:lvlJc w:val="left"/>
      <w:pPr>
        <w:tabs>
          <w:tab w:val="num" w:pos="360"/>
        </w:tabs>
        <w:ind w:left="360" w:hanging="360"/>
      </w:pPr>
      <w:rPr>
        <w:rFonts w:ascii="Arial" w:hAnsi="Arial" w:cs="Arial" w:hint="default"/>
        <w:b w:val="0"/>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E3361A6"/>
    <w:multiLevelType w:val="multilevel"/>
    <w:tmpl w:val="D98667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F072EEA"/>
    <w:multiLevelType w:val="hybridMultilevel"/>
    <w:tmpl w:val="93DCCF72"/>
    <w:lvl w:ilvl="0" w:tplc="48CAE142">
      <w:start w:val="1"/>
      <w:numFmt w:val="bullet"/>
      <w:lvlText w:val="-"/>
      <w:lvlJc w:val="left"/>
      <w:pPr>
        <w:ind w:left="720" w:hanging="360"/>
      </w:pPr>
      <w:rPr>
        <w:rFonts w:ascii="Arial" w:eastAsia="Times New Roman" w:hAnsi="Arial" w:cs="Arial" w:hint="default"/>
      </w:rPr>
    </w:lvl>
    <w:lvl w:ilvl="1" w:tplc="6A06C604">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48CAE142">
      <w:start w:val="1"/>
      <w:numFmt w:val="bullet"/>
      <w:lvlText w:val="-"/>
      <w:lvlJc w:val="left"/>
      <w:pPr>
        <w:ind w:left="2880" w:hanging="360"/>
      </w:pPr>
      <w:rPr>
        <w:rFonts w:ascii="Arial" w:eastAsia="Times New Roman" w:hAnsi="Arial" w:cs="Aria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43411"/>
    <w:multiLevelType w:val="hybridMultilevel"/>
    <w:tmpl w:val="C5AE22AA"/>
    <w:lvl w:ilvl="0" w:tplc="04090001">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15AD55AA"/>
    <w:multiLevelType w:val="multilevel"/>
    <w:tmpl w:val="6BD8AACC"/>
    <w:lvl w:ilvl="0">
      <w:start w:val="1"/>
      <w:numFmt w:val="upperRoman"/>
      <w:lvlRestart w:val="0"/>
      <w:lvlText w:val="%1."/>
      <w:lvlJc w:val="center"/>
      <w:pPr>
        <w:tabs>
          <w:tab w:val="num" w:pos="2088"/>
        </w:tabs>
        <w:ind w:left="1440" w:firstLine="288"/>
      </w:pPr>
      <w:rPr>
        <w:rFonts w:hint="default"/>
        <w:b/>
        <w:i w:val="0"/>
      </w:rPr>
    </w:lvl>
    <w:lvl w:ilvl="1">
      <w:start w:val="3"/>
      <w:numFmt w:val="decimal"/>
      <w:isLgl/>
      <w:lvlText w:val="%1.%2"/>
      <w:lvlJc w:val="left"/>
      <w:pPr>
        <w:tabs>
          <w:tab w:val="num" w:pos="2736"/>
        </w:tabs>
        <w:ind w:left="2736" w:hanging="1296"/>
      </w:pPr>
      <w:rPr>
        <w:rFonts w:hint="default"/>
        <w:lang w:val="es-ES"/>
      </w:rPr>
    </w:lvl>
    <w:lvl w:ilvl="2">
      <w:start w:val="1"/>
      <w:numFmt w:val="lowerLetter"/>
      <w:lvlText w:val="%3."/>
      <w:lvlJc w:val="left"/>
      <w:pPr>
        <w:tabs>
          <w:tab w:val="num" w:pos="2592"/>
        </w:tabs>
        <w:ind w:left="2592" w:hanging="432"/>
      </w:pPr>
      <w:rPr>
        <w:rFonts w:hint="default"/>
      </w:rPr>
    </w:lvl>
    <w:lvl w:ilvl="3">
      <w:start w:val="1"/>
      <w:numFmt w:val="lowerRoman"/>
      <w:lvlText w:val="%4."/>
      <w:lvlJc w:val="right"/>
      <w:pPr>
        <w:tabs>
          <w:tab w:val="num" w:pos="3024"/>
        </w:tabs>
        <w:ind w:left="3024" w:hanging="288"/>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9">
    <w:nsid w:val="1E322CFA"/>
    <w:multiLevelType w:val="multilevel"/>
    <w:tmpl w:val="81029D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1591B63"/>
    <w:multiLevelType w:val="hybridMultilevel"/>
    <w:tmpl w:val="E8E064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36D32E2"/>
    <w:multiLevelType w:val="hybridMultilevel"/>
    <w:tmpl w:val="AB545EE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266F348C"/>
    <w:multiLevelType w:val="hybridMultilevel"/>
    <w:tmpl w:val="30EE7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7158E6"/>
    <w:multiLevelType w:val="hybridMultilevel"/>
    <w:tmpl w:val="62D0326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557A7B"/>
    <w:multiLevelType w:val="multilevel"/>
    <w:tmpl w:val="B562E908"/>
    <w:lvl w:ilvl="0">
      <w:start w:val="1"/>
      <w:numFmt w:val="upperRoman"/>
      <w:lvlRestart w:val="0"/>
      <w:lvlText w:val="%1."/>
      <w:lvlJc w:val="center"/>
      <w:pPr>
        <w:tabs>
          <w:tab w:val="num" w:pos="4680"/>
        </w:tabs>
        <w:ind w:left="4032" w:firstLine="288"/>
      </w:pPr>
      <w:rPr>
        <w:rFonts w:cs="Times New Roman"/>
        <w:b/>
        <w:i w:val="0"/>
      </w:rPr>
    </w:lvl>
    <w:lvl w:ilvl="1">
      <w:start w:val="1"/>
      <w:numFmt w:val="decimal"/>
      <w:isLgl/>
      <w:lvlText w:val="%1.%2"/>
      <w:lvlJc w:val="left"/>
      <w:pPr>
        <w:tabs>
          <w:tab w:val="num" w:pos="5328"/>
        </w:tabs>
        <w:ind w:left="5328" w:hanging="1296"/>
      </w:pPr>
      <w:rPr>
        <w:rFonts w:cs="Times New Roman"/>
      </w:rPr>
    </w:lvl>
    <w:lvl w:ilvl="2">
      <w:start w:val="1"/>
      <w:numFmt w:val="lowerLetter"/>
      <w:lvlText w:val="%3."/>
      <w:lvlJc w:val="left"/>
      <w:pPr>
        <w:tabs>
          <w:tab w:val="num" w:pos="5184"/>
        </w:tabs>
        <w:ind w:left="5184" w:hanging="432"/>
      </w:pPr>
      <w:rPr>
        <w:rFonts w:cs="Times New Roman"/>
      </w:rPr>
    </w:lvl>
    <w:lvl w:ilvl="3">
      <w:start w:val="1"/>
      <w:numFmt w:val="lowerRoman"/>
      <w:lvlText w:val="%4."/>
      <w:lvlJc w:val="right"/>
      <w:pPr>
        <w:tabs>
          <w:tab w:val="num" w:pos="5616"/>
        </w:tabs>
        <w:ind w:left="5616" w:hanging="288"/>
      </w:pPr>
      <w:rPr>
        <w:rFonts w:cs="Times New Roman"/>
      </w:rPr>
    </w:lvl>
    <w:lvl w:ilvl="4">
      <w:start w:val="1"/>
      <w:numFmt w:val="decimal"/>
      <w:lvlText w:val="%1.%2.%3.%4.%5"/>
      <w:lvlJc w:val="left"/>
      <w:pPr>
        <w:ind w:left="5040" w:hanging="1008"/>
      </w:pPr>
      <w:rPr>
        <w:rFonts w:cs="Times New Roman"/>
      </w:rPr>
    </w:lvl>
    <w:lvl w:ilvl="5">
      <w:start w:val="1"/>
      <w:numFmt w:val="decimal"/>
      <w:lvlText w:val="%1.%2.%3.%4.%5.%6"/>
      <w:lvlJc w:val="left"/>
      <w:pPr>
        <w:ind w:left="5184" w:hanging="1152"/>
      </w:pPr>
      <w:rPr>
        <w:rFonts w:cs="Times New Roman"/>
      </w:rPr>
    </w:lvl>
    <w:lvl w:ilvl="6">
      <w:start w:val="1"/>
      <w:numFmt w:val="decimal"/>
      <w:lvlText w:val="%1.%2.%3.%4.%5.%6.%7"/>
      <w:lvlJc w:val="left"/>
      <w:pPr>
        <w:ind w:left="5328" w:hanging="1296"/>
      </w:pPr>
      <w:rPr>
        <w:rFonts w:cs="Times New Roman"/>
      </w:rPr>
    </w:lvl>
    <w:lvl w:ilvl="7">
      <w:start w:val="1"/>
      <w:numFmt w:val="decimal"/>
      <w:lvlText w:val="%1.%2.%3.%4.%5.%6.%7.%8"/>
      <w:lvlJc w:val="left"/>
      <w:pPr>
        <w:ind w:left="5472" w:hanging="1440"/>
      </w:pPr>
      <w:rPr>
        <w:rFonts w:cs="Times New Roman"/>
      </w:rPr>
    </w:lvl>
    <w:lvl w:ilvl="8">
      <w:start w:val="1"/>
      <w:numFmt w:val="decimal"/>
      <w:lvlText w:val="%1.%2.%3.%4.%5.%6.%7.%8.%9"/>
      <w:lvlJc w:val="left"/>
      <w:pPr>
        <w:ind w:left="5616" w:hanging="1584"/>
      </w:pPr>
      <w:rPr>
        <w:rFonts w:cs="Times New Roman"/>
      </w:rPr>
    </w:lvl>
  </w:abstractNum>
  <w:abstractNum w:abstractNumId="15">
    <w:nsid w:val="2D3A3D0C"/>
    <w:multiLevelType w:val="hybridMultilevel"/>
    <w:tmpl w:val="463AA6F2"/>
    <w:lvl w:ilvl="0" w:tplc="979242E2">
      <w:start w:val="1"/>
      <w:numFmt w:val="lowerLetter"/>
      <w:lvlText w:val="(%1)"/>
      <w:lvlJc w:val="left"/>
      <w:pPr>
        <w:ind w:left="2310" w:hanging="87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E4F3BB9"/>
    <w:multiLevelType w:val="hybridMultilevel"/>
    <w:tmpl w:val="B510AD9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nsid w:val="3430501E"/>
    <w:multiLevelType w:val="hybridMultilevel"/>
    <w:tmpl w:val="8E5CEE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F30331"/>
    <w:multiLevelType w:val="hybridMultilevel"/>
    <w:tmpl w:val="DFE63422"/>
    <w:lvl w:ilvl="0" w:tplc="8FDC9572">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F1C8E"/>
    <w:multiLevelType w:val="hybridMultilevel"/>
    <w:tmpl w:val="3BF4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9017A0"/>
    <w:multiLevelType w:val="hybridMultilevel"/>
    <w:tmpl w:val="A95A5DE2"/>
    <w:lvl w:ilvl="0" w:tplc="6F66FD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6222A2"/>
    <w:multiLevelType w:val="hybridMultilevel"/>
    <w:tmpl w:val="0B3C47A4"/>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2">
    <w:nsid w:val="4BEA0DE4"/>
    <w:multiLevelType w:val="hybridMultilevel"/>
    <w:tmpl w:val="EF1C883C"/>
    <w:lvl w:ilvl="0" w:tplc="3386175C">
      <w:start w:val="1"/>
      <w:numFmt w:val="decimal"/>
      <w:lvlText w:val="3.%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CB6242"/>
    <w:multiLevelType w:val="hybridMultilevel"/>
    <w:tmpl w:val="20DABD1A"/>
    <w:lvl w:ilvl="0" w:tplc="235A865C">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DD03D1"/>
    <w:multiLevelType w:val="hybridMultilevel"/>
    <w:tmpl w:val="15D03A5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AD32FC"/>
    <w:multiLevelType w:val="multilevel"/>
    <w:tmpl w:val="573E3F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60BF47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0FC6082"/>
    <w:multiLevelType w:val="hybridMultilevel"/>
    <w:tmpl w:val="319E0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F32CB"/>
    <w:multiLevelType w:val="hybridMultilevel"/>
    <w:tmpl w:val="CC4617C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9">
    <w:nsid w:val="66702939"/>
    <w:multiLevelType w:val="hybridMultilevel"/>
    <w:tmpl w:val="FF36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8E5BEB"/>
    <w:multiLevelType w:val="multilevel"/>
    <w:tmpl w:val="6BD8AACC"/>
    <w:lvl w:ilvl="0">
      <w:start w:val="1"/>
      <w:numFmt w:val="upperRoman"/>
      <w:lvlRestart w:val="0"/>
      <w:lvlText w:val="%1."/>
      <w:lvlJc w:val="center"/>
      <w:pPr>
        <w:tabs>
          <w:tab w:val="num" w:pos="2088"/>
        </w:tabs>
        <w:ind w:left="1440" w:firstLine="288"/>
      </w:pPr>
      <w:rPr>
        <w:rFonts w:hint="default"/>
        <w:b/>
        <w:i w:val="0"/>
      </w:rPr>
    </w:lvl>
    <w:lvl w:ilvl="1">
      <w:start w:val="3"/>
      <w:numFmt w:val="decimal"/>
      <w:isLgl/>
      <w:lvlText w:val="%1.%2"/>
      <w:lvlJc w:val="left"/>
      <w:pPr>
        <w:tabs>
          <w:tab w:val="num" w:pos="2736"/>
        </w:tabs>
        <w:ind w:left="2736" w:hanging="1296"/>
      </w:pPr>
      <w:rPr>
        <w:rFonts w:hint="default"/>
        <w:lang w:val="es-ES"/>
      </w:rPr>
    </w:lvl>
    <w:lvl w:ilvl="2">
      <w:start w:val="1"/>
      <w:numFmt w:val="lowerLetter"/>
      <w:lvlText w:val="%3."/>
      <w:lvlJc w:val="left"/>
      <w:pPr>
        <w:tabs>
          <w:tab w:val="num" w:pos="2592"/>
        </w:tabs>
        <w:ind w:left="2592" w:hanging="432"/>
      </w:pPr>
      <w:rPr>
        <w:rFonts w:hint="default"/>
      </w:rPr>
    </w:lvl>
    <w:lvl w:ilvl="3">
      <w:start w:val="1"/>
      <w:numFmt w:val="lowerRoman"/>
      <w:lvlText w:val="%4."/>
      <w:lvlJc w:val="right"/>
      <w:pPr>
        <w:tabs>
          <w:tab w:val="num" w:pos="3024"/>
        </w:tabs>
        <w:ind w:left="3024" w:hanging="288"/>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31">
    <w:nsid w:val="69507E0C"/>
    <w:multiLevelType w:val="hybridMultilevel"/>
    <w:tmpl w:val="914A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806F1"/>
    <w:multiLevelType w:val="multilevel"/>
    <w:tmpl w:val="E440E752"/>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3">
    <w:nsid w:val="6CDE42B8"/>
    <w:multiLevelType w:val="hybridMultilevel"/>
    <w:tmpl w:val="9D3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577BC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5">
    <w:nsid w:val="70651280"/>
    <w:multiLevelType w:val="multilevel"/>
    <w:tmpl w:val="E440E752"/>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6">
    <w:nsid w:val="73E5783B"/>
    <w:multiLevelType w:val="multilevel"/>
    <w:tmpl w:val="E440E752"/>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nsid w:val="74BA4A79"/>
    <w:multiLevelType w:val="hybridMultilevel"/>
    <w:tmpl w:val="652A70FE"/>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nsid w:val="74C74592"/>
    <w:multiLevelType w:val="multilevel"/>
    <w:tmpl w:val="C542FBF2"/>
    <w:lvl w:ilvl="0">
      <w:start w:val="1"/>
      <w:numFmt w:val="upperRoman"/>
      <w:pStyle w:val="Heading1"/>
      <w:lvlText w:val="%1."/>
      <w:lvlJc w:val="left"/>
      <w:pPr>
        <w:tabs>
          <w:tab w:val="num" w:pos="360"/>
        </w:tabs>
      </w:pPr>
      <w:rPr>
        <w:rFonts w:cs="Times New Roman"/>
      </w:rPr>
    </w:lvl>
    <w:lvl w:ilvl="1">
      <w:start w:val="1"/>
      <w:numFmt w:val="upperLetter"/>
      <w:pStyle w:val="Heading2"/>
      <w:lvlText w:val="%2."/>
      <w:lvlJc w:val="left"/>
      <w:pPr>
        <w:tabs>
          <w:tab w:val="num" w:pos="1080"/>
        </w:tabs>
        <w:ind w:left="720"/>
      </w:pPr>
      <w:rPr>
        <w:rFonts w:cs="Times New Roman"/>
      </w:rPr>
    </w:lvl>
    <w:lvl w:ilvl="2">
      <w:start w:val="1"/>
      <w:numFmt w:val="decimal"/>
      <w:pStyle w:val="Heading3"/>
      <w:lvlText w:val="%3."/>
      <w:lvlJc w:val="left"/>
      <w:pPr>
        <w:tabs>
          <w:tab w:val="num" w:pos="1800"/>
        </w:tabs>
        <w:ind w:left="1440"/>
      </w:pPr>
      <w:rPr>
        <w:rFonts w:cs="Times New Roman"/>
      </w:rPr>
    </w:lvl>
    <w:lvl w:ilvl="3">
      <w:start w:val="1"/>
      <w:numFmt w:val="lowerLetter"/>
      <w:pStyle w:val="Heading4"/>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39">
    <w:nsid w:val="75AC130D"/>
    <w:multiLevelType w:val="multilevel"/>
    <w:tmpl w:val="E440E752"/>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0">
    <w:nsid w:val="75D12061"/>
    <w:multiLevelType w:val="multilevel"/>
    <w:tmpl w:val="CD468766"/>
    <w:lvl w:ilvl="0">
      <w:start w:val="1"/>
      <w:numFmt w:val="upperRoman"/>
      <w:lvlText w:val="%1."/>
      <w:lvlJc w:val="right"/>
      <w:pPr>
        <w:ind w:left="900" w:hanging="360"/>
      </w:pPr>
    </w:lvl>
    <w:lvl w:ilvl="1">
      <w:start w:val="1"/>
      <w:numFmt w:val="decimal"/>
      <w:isLgl/>
      <w:lvlText w:val="%1.%2"/>
      <w:lvlJc w:val="left"/>
      <w:pPr>
        <w:ind w:left="900" w:hanging="360"/>
      </w:pPr>
      <w:rPr>
        <w:rFonts w:hint="default"/>
      </w:rPr>
    </w:lvl>
    <w:lvl w:ilvl="2">
      <w:start w:val="1"/>
      <w:numFmt w:val="lowerRoman"/>
      <w:lvlText w:val="%3."/>
      <w:lvlJc w:val="righ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1">
    <w:nsid w:val="76E50DD0"/>
    <w:multiLevelType w:val="hybridMultilevel"/>
    <w:tmpl w:val="268E60B0"/>
    <w:lvl w:ilvl="0" w:tplc="4A527D4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nsid w:val="779D1050"/>
    <w:multiLevelType w:val="hybridMultilevel"/>
    <w:tmpl w:val="B9C4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A182AF1"/>
    <w:multiLevelType w:val="hybridMultilevel"/>
    <w:tmpl w:val="0A886D6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4">
    <w:nsid w:val="7BFB24D3"/>
    <w:multiLevelType w:val="hybridMultilevel"/>
    <w:tmpl w:val="6B6A4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3"/>
  </w:num>
  <w:num w:numId="3">
    <w:abstractNumId w:val="18"/>
  </w:num>
  <w:num w:numId="4">
    <w:abstractNumId w:val="8"/>
  </w:num>
  <w:num w:numId="5">
    <w:abstractNumId w:val="17"/>
  </w:num>
  <w:num w:numId="6">
    <w:abstractNumId w:val="22"/>
  </w:num>
  <w:num w:numId="7">
    <w:abstractNumId w:val="1"/>
  </w:num>
  <w:num w:numId="8">
    <w:abstractNumId w:val="2"/>
  </w:num>
  <w:num w:numId="9">
    <w:abstractNumId w:val="38"/>
  </w:num>
  <w:num w:numId="10">
    <w:abstractNumId w:val="14"/>
  </w:num>
  <w:num w:numId="11">
    <w:abstractNumId w:val="0"/>
  </w:num>
  <w:num w:numId="12">
    <w:abstractNumId w:val="24"/>
  </w:num>
  <w:num w:numId="13">
    <w:abstractNumId w:val="3"/>
  </w:num>
  <w:num w:numId="14">
    <w:abstractNumId w:val="39"/>
  </w:num>
  <w:num w:numId="15">
    <w:abstractNumId w:val="25"/>
  </w:num>
  <w:num w:numId="16">
    <w:abstractNumId w:val="42"/>
  </w:num>
  <w:num w:numId="17">
    <w:abstractNumId w:val="19"/>
  </w:num>
  <w:num w:numId="18">
    <w:abstractNumId w:val="33"/>
  </w:num>
  <w:num w:numId="19">
    <w:abstractNumId w:val="7"/>
  </w:num>
  <w:num w:numId="20">
    <w:abstractNumId w:val="27"/>
  </w:num>
  <w:num w:numId="21">
    <w:abstractNumId w:val="21"/>
  </w:num>
  <w:num w:numId="22">
    <w:abstractNumId w:val="36"/>
  </w:num>
  <w:num w:numId="23">
    <w:abstractNumId w:val="32"/>
  </w:num>
  <w:num w:numId="24">
    <w:abstractNumId w:val="12"/>
  </w:num>
  <w:num w:numId="25">
    <w:abstractNumId w:val="29"/>
  </w:num>
  <w:num w:numId="26">
    <w:abstractNumId w:val="44"/>
  </w:num>
  <w:num w:numId="27">
    <w:abstractNumId w:val="31"/>
  </w:num>
  <w:num w:numId="28">
    <w:abstractNumId w:val="5"/>
  </w:num>
  <w:num w:numId="29">
    <w:abstractNumId w:val="35"/>
  </w:num>
  <w:num w:numId="30">
    <w:abstractNumId w:val="9"/>
  </w:num>
  <w:num w:numId="31">
    <w:abstractNumId w:val="26"/>
  </w:num>
  <w:num w:numId="32">
    <w:abstractNumId w:val="30"/>
  </w:num>
  <w:num w:numId="33">
    <w:abstractNumId w:val="40"/>
  </w:num>
  <w:num w:numId="34">
    <w:abstractNumId w:val="15"/>
  </w:num>
  <w:num w:numId="35">
    <w:abstractNumId w:val="41"/>
  </w:num>
  <w:num w:numId="36">
    <w:abstractNumId w:val="6"/>
  </w:num>
  <w:num w:numId="37">
    <w:abstractNumId w:val="4"/>
  </w:num>
  <w:num w:numId="38">
    <w:abstractNumId w:val="10"/>
  </w:num>
  <w:num w:numId="39">
    <w:abstractNumId w:val="23"/>
  </w:num>
  <w:num w:numId="40">
    <w:abstractNumId w:val="37"/>
  </w:num>
  <w:num w:numId="41">
    <w:abstractNumId w:val="11"/>
  </w:num>
  <w:num w:numId="42">
    <w:abstractNumId w:val="43"/>
  </w:num>
  <w:num w:numId="43">
    <w:abstractNumId w:val="16"/>
  </w:num>
  <w:num w:numId="44">
    <w:abstractNumId w:val="28"/>
  </w:num>
  <w:num w:numId="45">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10"/>
    <w:rsid w:val="00002EBE"/>
    <w:rsid w:val="0001267D"/>
    <w:rsid w:val="00012844"/>
    <w:rsid w:val="00012B0D"/>
    <w:rsid w:val="00020639"/>
    <w:rsid w:val="00022B46"/>
    <w:rsid w:val="00041C40"/>
    <w:rsid w:val="000518DD"/>
    <w:rsid w:val="00051FEC"/>
    <w:rsid w:val="0005212E"/>
    <w:rsid w:val="000549BD"/>
    <w:rsid w:val="00066F64"/>
    <w:rsid w:val="0007609D"/>
    <w:rsid w:val="000A2E8A"/>
    <w:rsid w:val="000A6CD4"/>
    <w:rsid w:val="000B1892"/>
    <w:rsid w:val="000D310E"/>
    <w:rsid w:val="000E04C0"/>
    <w:rsid w:val="00102CE7"/>
    <w:rsid w:val="001058E3"/>
    <w:rsid w:val="00120A35"/>
    <w:rsid w:val="00125667"/>
    <w:rsid w:val="001306CE"/>
    <w:rsid w:val="00134448"/>
    <w:rsid w:val="00160E39"/>
    <w:rsid w:val="0016132A"/>
    <w:rsid w:val="001726E5"/>
    <w:rsid w:val="00172CB2"/>
    <w:rsid w:val="00175044"/>
    <w:rsid w:val="00186C39"/>
    <w:rsid w:val="00191308"/>
    <w:rsid w:val="001A71C6"/>
    <w:rsid w:val="001B0C76"/>
    <w:rsid w:val="001B3C75"/>
    <w:rsid w:val="001C6DFE"/>
    <w:rsid w:val="001D11ED"/>
    <w:rsid w:val="001D2C26"/>
    <w:rsid w:val="001D7E93"/>
    <w:rsid w:val="001E4321"/>
    <w:rsid w:val="001E6CB8"/>
    <w:rsid w:val="001E7DAA"/>
    <w:rsid w:val="001F4D7A"/>
    <w:rsid w:val="00204411"/>
    <w:rsid w:val="00214AB6"/>
    <w:rsid w:val="00242608"/>
    <w:rsid w:val="002548B2"/>
    <w:rsid w:val="00260132"/>
    <w:rsid w:val="00261C64"/>
    <w:rsid w:val="002655C8"/>
    <w:rsid w:val="00272E30"/>
    <w:rsid w:val="00277D8D"/>
    <w:rsid w:val="00280868"/>
    <w:rsid w:val="00283B07"/>
    <w:rsid w:val="002934DB"/>
    <w:rsid w:val="00296024"/>
    <w:rsid w:val="002A5B81"/>
    <w:rsid w:val="002B3D98"/>
    <w:rsid w:val="002C0659"/>
    <w:rsid w:val="002C4BEC"/>
    <w:rsid w:val="002C72C3"/>
    <w:rsid w:val="002E2942"/>
    <w:rsid w:val="002E3581"/>
    <w:rsid w:val="002F0123"/>
    <w:rsid w:val="002F0BA3"/>
    <w:rsid w:val="002F3D9F"/>
    <w:rsid w:val="002F422C"/>
    <w:rsid w:val="002F464A"/>
    <w:rsid w:val="00301EA2"/>
    <w:rsid w:val="0030424B"/>
    <w:rsid w:val="00335717"/>
    <w:rsid w:val="00351448"/>
    <w:rsid w:val="00381592"/>
    <w:rsid w:val="00385DF9"/>
    <w:rsid w:val="00390673"/>
    <w:rsid w:val="003955CA"/>
    <w:rsid w:val="00397A24"/>
    <w:rsid w:val="003A082E"/>
    <w:rsid w:val="003A1D08"/>
    <w:rsid w:val="003C5BA6"/>
    <w:rsid w:val="003F4E3B"/>
    <w:rsid w:val="003F5E34"/>
    <w:rsid w:val="004001FE"/>
    <w:rsid w:val="00414F86"/>
    <w:rsid w:val="00422AAB"/>
    <w:rsid w:val="0043697F"/>
    <w:rsid w:val="004370F5"/>
    <w:rsid w:val="00453E00"/>
    <w:rsid w:val="00467BD8"/>
    <w:rsid w:val="004703A9"/>
    <w:rsid w:val="00471E91"/>
    <w:rsid w:val="00472D74"/>
    <w:rsid w:val="00495022"/>
    <w:rsid w:val="004A36F5"/>
    <w:rsid w:val="004B09A4"/>
    <w:rsid w:val="004B6B6F"/>
    <w:rsid w:val="004C1070"/>
    <w:rsid w:val="004C36CC"/>
    <w:rsid w:val="004C4E1E"/>
    <w:rsid w:val="004D0618"/>
    <w:rsid w:val="004F08B1"/>
    <w:rsid w:val="004F2D18"/>
    <w:rsid w:val="004F61C8"/>
    <w:rsid w:val="004F6EFD"/>
    <w:rsid w:val="00501B6C"/>
    <w:rsid w:val="00504DF6"/>
    <w:rsid w:val="00512A06"/>
    <w:rsid w:val="0051672D"/>
    <w:rsid w:val="005204E6"/>
    <w:rsid w:val="005214C1"/>
    <w:rsid w:val="00527C8B"/>
    <w:rsid w:val="00552527"/>
    <w:rsid w:val="0056389E"/>
    <w:rsid w:val="00575CAB"/>
    <w:rsid w:val="00592791"/>
    <w:rsid w:val="00595A5D"/>
    <w:rsid w:val="00595A85"/>
    <w:rsid w:val="00596961"/>
    <w:rsid w:val="005A6450"/>
    <w:rsid w:val="005B2EC5"/>
    <w:rsid w:val="005B3360"/>
    <w:rsid w:val="005B5121"/>
    <w:rsid w:val="005B6A52"/>
    <w:rsid w:val="005C078E"/>
    <w:rsid w:val="005C7936"/>
    <w:rsid w:val="005E4C7F"/>
    <w:rsid w:val="005F0028"/>
    <w:rsid w:val="005F1B33"/>
    <w:rsid w:val="005F290C"/>
    <w:rsid w:val="005F7683"/>
    <w:rsid w:val="005F7E8C"/>
    <w:rsid w:val="006006A2"/>
    <w:rsid w:val="006060D4"/>
    <w:rsid w:val="00614EFB"/>
    <w:rsid w:val="0062361B"/>
    <w:rsid w:val="00634BA1"/>
    <w:rsid w:val="00637C7A"/>
    <w:rsid w:val="00640027"/>
    <w:rsid w:val="00640849"/>
    <w:rsid w:val="006609FA"/>
    <w:rsid w:val="006610C2"/>
    <w:rsid w:val="00675AEE"/>
    <w:rsid w:val="00683F8B"/>
    <w:rsid w:val="0068582C"/>
    <w:rsid w:val="006A4232"/>
    <w:rsid w:val="006B6E02"/>
    <w:rsid w:val="006B7A68"/>
    <w:rsid w:val="006D064C"/>
    <w:rsid w:val="006D5C57"/>
    <w:rsid w:val="006D649D"/>
    <w:rsid w:val="006D6D52"/>
    <w:rsid w:val="00724C6F"/>
    <w:rsid w:val="007471B7"/>
    <w:rsid w:val="0076256D"/>
    <w:rsid w:val="00772A62"/>
    <w:rsid w:val="00777222"/>
    <w:rsid w:val="0079390B"/>
    <w:rsid w:val="00794958"/>
    <w:rsid w:val="00796E97"/>
    <w:rsid w:val="007A2003"/>
    <w:rsid w:val="007A34E6"/>
    <w:rsid w:val="007B39B7"/>
    <w:rsid w:val="007D3805"/>
    <w:rsid w:val="007D559E"/>
    <w:rsid w:val="007E1430"/>
    <w:rsid w:val="007E1F82"/>
    <w:rsid w:val="007F3FBD"/>
    <w:rsid w:val="007F5C08"/>
    <w:rsid w:val="007F7A84"/>
    <w:rsid w:val="00824701"/>
    <w:rsid w:val="008247FA"/>
    <w:rsid w:val="00830E61"/>
    <w:rsid w:val="00831D28"/>
    <w:rsid w:val="008340DE"/>
    <w:rsid w:val="008623BB"/>
    <w:rsid w:val="00867BA8"/>
    <w:rsid w:val="00870400"/>
    <w:rsid w:val="00890230"/>
    <w:rsid w:val="008A01D8"/>
    <w:rsid w:val="008A0409"/>
    <w:rsid w:val="008A1228"/>
    <w:rsid w:val="008A43EC"/>
    <w:rsid w:val="008A4A10"/>
    <w:rsid w:val="008C651B"/>
    <w:rsid w:val="008D3711"/>
    <w:rsid w:val="008E3044"/>
    <w:rsid w:val="008F278A"/>
    <w:rsid w:val="008F6D9D"/>
    <w:rsid w:val="008F7FCD"/>
    <w:rsid w:val="0091072E"/>
    <w:rsid w:val="009116CD"/>
    <w:rsid w:val="009124CE"/>
    <w:rsid w:val="00913681"/>
    <w:rsid w:val="009165DC"/>
    <w:rsid w:val="0092359E"/>
    <w:rsid w:val="00932B34"/>
    <w:rsid w:val="00934A88"/>
    <w:rsid w:val="0094794B"/>
    <w:rsid w:val="00954EB1"/>
    <w:rsid w:val="00961D96"/>
    <w:rsid w:val="00962D29"/>
    <w:rsid w:val="0097031D"/>
    <w:rsid w:val="009724E4"/>
    <w:rsid w:val="00975DFF"/>
    <w:rsid w:val="009A2482"/>
    <w:rsid w:val="009A25D3"/>
    <w:rsid w:val="009A3CCE"/>
    <w:rsid w:val="009E64AB"/>
    <w:rsid w:val="009F7DB3"/>
    <w:rsid w:val="00A00FC2"/>
    <w:rsid w:val="00A05729"/>
    <w:rsid w:val="00A07E65"/>
    <w:rsid w:val="00A11F18"/>
    <w:rsid w:val="00A318B4"/>
    <w:rsid w:val="00A4242B"/>
    <w:rsid w:val="00A43C2E"/>
    <w:rsid w:val="00A476BE"/>
    <w:rsid w:val="00A567B6"/>
    <w:rsid w:val="00A56F4F"/>
    <w:rsid w:val="00A633A8"/>
    <w:rsid w:val="00A666AA"/>
    <w:rsid w:val="00A67DBB"/>
    <w:rsid w:val="00A73C96"/>
    <w:rsid w:val="00A86489"/>
    <w:rsid w:val="00A9645C"/>
    <w:rsid w:val="00AA0591"/>
    <w:rsid w:val="00AA1A9B"/>
    <w:rsid w:val="00AA4FFB"/>
    <w:rsid w:val="00AB083D"/>
    <w:rsid w:val="00AB3913"/>
    <w:rsid w:val="00AC34F0"/>
    <w:rsid w:val="00AC5671"/>
    <w:rsid w:val="00AD03C8"/>
    <w:rsid w:val="00AD0C7E"/>
    <w:rsid w:val="00AD3145"/>
    <w:rsid w:val="00AE1132"/>
    <w:rsid w:val="00AE44E8"/>
    <w:rsid w:val="00AF04DB"/>
    <w:rsid w:val="00AF3E19"/>
    <w:rsid w:val="00B01DBA"/>
    <w:rsid w:val="00B126B3"/>
    <w:rsid w:val="00B502A2"/>
    <w:rsid w:val="00B52120"/>
    <w:rsid w:val="00B55C4C"/>
    <w:rsid w:val="00B62BA5"/>
    <w:rsid w:val="00B63B6C"/>
    <w:rsid w:val="00B743D8"/>
    <w:rsid w:val="00B94DCD"/>
    <w:rsid w:val="00B94F95"/>
    <w:rsid w:val="00B963D9"/>
    <w:rsid w:val="00BA3449"/>
    <w:rsid w:val="00BB52F3"/>
    <w:rsid w:val="00BB56AD"/>
    <w:rsid w:val="00BC08AC"/>
    <w:rsid w:val="00BC0E28"/>
    <w:rsid w:val="00BD15D0"/>
    <w:rsid w:val="00BF12CA"/>
    <w:rsid w:val="00BF7493"/>
    <w:rsid w:val="00C01FD4"/>
    <w:rsid w:val="00C17FDB"/>
    <w:rsid w:val="00C20ADC"/>
    <w:rsid w:val="00C22FDC"/>
    <w:rsid w:val="00C54192"/>
    <w:rsid w:val="00C608D5"/>
    <w:rsid w:val="00C62A0E"/>
    <w:rsid w:val="00C63107"/>
    <w:rsid w:val="00C647F4"/>
    <w:rsid w:val="00C71652"/>
    <w:rsid w:val="00C73A8F"/>
    <w:rsid w:val="00C758DB"/>
    <w:rsid w:val="00C90F9A"/>
    <w:rsid w:val="00C94EAC"/>
    <w:rsid w:val="00C94F7E"/>
    <w:rsid w:val="00C963D6"/>
    <w:rsid w:val="00C9668E"/>
    <w:rsid w:val="00CB629D"/>
    <w:rsid w:val="00CC413C"/>
    <w:rsid w:val="00CE518B"/>
    <w:rsid w:val="00D00E29"/>
    <w:rsid w:val="00D0425F"/>
    <w:rsid w:val="00D13DA0"/>
    <w:rsid w:val="00D14CED"/>
    <w:rsid w:val="00D15504"/>
    <w:rsid w:val="00D430A1"/>
    <w:rsid w:val="00D83583"/>
    <w:rsid w:val="00D9088E"/>
    <w:rsid w:val="00D912E6"/>
    <w:rsid w:val="00DA200A"/>
    <w:rsid w:val="00DB40E3"/>
    <w:rsid w:val="00DB41FF"/>
    <w:rsid w:val="00DB6F84"/>
    <w:rsid w:val="00DC1797"/>
    <w:rsid w:val="00DC4BC4"/>
    <w:rsid w:val="00DC69CC"/>
    <w:rsid w:val="00DD60E7"/>
    <w:rsid w:val="00DE2988"/>
    <w:rsid w:val="00DF0242"/>
    <w:rsid w:val="00DF1B84"/>
    <w:rsid w:val="00DF20F3"/>
    <w:rsid w:val="00E13C32"/>
    <w:rsid w:val="00E225D9"/>
    <w:rsid w:val="00E24016"/>
    <w:rsid w:val="00E34A6E"/>
    <w:rsid w:val="00E415CF"/>
    <w:rsid w:val="00E433E4"/>
    <w:rsid w:val="00E51D4B"/>
    <w:rsid w:val="00E71710"/>
    <w:rsid w:val="00E75D6A"/>
    <w:rsid w:val="00E82A61"/>
    <w:rsid w:val="00E83F97"/>
    <w:rsid w:val="00E90FCC"/>
    <w:rsid w:val="00E956EF"/>
    <w:rsid w:val="00E96555"/>
    <w:rsid w:val="00EB035E"/>
    <w:rsid w:val="00EB5931"/>
    <w:rsid w:val="00EC64CA"/>
    <w:rsid w:val="00ED0FB6"/>
    <w:rsid w:val="00EF184D"/>
    <w:rsid w:val="00F01B9A"/>
    <w:rsid w:val="00F04D2B"/>
    <w:rsid w:val="00F162E5"/>
    <w:rsid w:val="00F25008"/>
    <w:rsid w:val="00F26A01"/>
    <w:rsid w:val="00F3053E"/>
    <w:rsid w:val="00F36605"/>
    <w:rsid w:val="00F52247"/>
    <w:rsid w:val="00F57966"/>
    <w:rsid w:val="00F60DF1"/>
    <w:rsid w:val="00F60FD9"/>
    <w:rsid w:val="00F611FC"/>
    <w:rsid w:val="00F70371"/>
    <w:rsid w:val="00F75220"/>
    <w:rsid w:val="00F870A9"/>
    <w:rsid w:val="00F97F8C"/>
    <w:rsid w:val="00FB1CEC"/>
    <w:rsid w:val="00FB6307"/>
    <w:rsid w:val="00FD43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DF6"/>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504DF6"/>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504DF6"/>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qFormat/>
    <w:rsid w:val="00504DF6"/>
    <w:pPr>
      <w:keepNext/>
      <w:numPr>
        <w:ilvl w:val="3"/>
        <w:numId w:val="9"/>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32"/>
    <w:pPr>
      <w:ind w:left="720"/>
      <w:contextualSpacing/>
    </w:pPr>
  </w:style>
  <w:style w:type="paragraph" w:styleId="BalloonText">
    <w:name w:val="Balloon Text"/>
    <w:basedOn w:val="Normal"/>
    <w:link w:val="BalloonTextChar"/>
    <w:uiPriority w:val="99"/>
    <w:semiHidden/>
    <w:unhideWhenUsed/>
    <w:rsid w:val="003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2E"/>
    <w:rPr>
      <w:rFonts w:ascii="Tahoma" w:hAnsi="Tahoma" w:cs="Tahoma"/>
      <w:sz w:val="16"/>
      <w:szCs w:val="16"/>
    </w:rPr>
  </w:style>
  <w:style w:type="table" w:styleId="TableGrid">
    <w:name w:val="Table Grid"/>
    <w:basedOn w:val="TableNormal"/>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unhideWhenUsed/>
    <w:rsid w:val="00472D74"/>
    <w:pPr>
      <w:spacing w:after="0" w:line="240" w:lineRule="auto"/>
    </w:pPr>
    <w:rPr>
      <w:rFonts w:ascii="Times New Roman" w:hAnsi="Times New Roman"/>
      <w:sz w:val="20"/>
      <w:szCs w:val="20"/>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472D74"/>
    <w:rPr>
      <w:rFonts w:ascii="Times New Roman" w:hAnsi="Times New Roman"/>
      <w:sz w:val="20"/>
      <w:szCs w:val="20"/>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basedOn w:val="DefaultParagraphFont"/>
    <w:uiPriority w:val="99"/>
    <w:unhideWhenUsed/>
    <w:rsid w:val="00F01B9A"/>
    <w:rPr>
      <w:vertAlign w:val="superscript"/>
    </w:rPr>
  </w:style>
  <w:style w:type="paragraph" w:customStyle="1" w:styleId="Paragraph">
    <w:name w:val="Paragraph"/>
    <w:aliases w:val="paragraph,p,PARAGRAPH,PG,pa,at"/>
    <w:basedOn w:val="BodyTextIndent"/>
    <w:link w:val="ParagraphChar"/>
    <w:qFormat/>
    <w:rsid w:val="009116CD"/>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9116CD"/>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9116CD"/>
    <w:pPr>
      <w:spacing w:after="120"/>
      <w:ind w:left="360"/>
    </w:pPr>
  </w:style>
  <w:style w:type="character" w:customStyle="1" w:styleId="BodyTextIndentChar">
    <w:name w:val="Body Text Indent Char"/>
    <w:basedOn w:val="DefaultParagraphFont"/>
    <w:link w:val="BodyTextIndent"/>
    <w:uiPriority w:val="99"/>
    <w:semiHidden/>
    <w:rsid w:val="009116CD"/>
  </w:style>
  <w:style w:type="paragraph" w:styleId="Header">
    <w:name w:val="header"/>
    <w:basedOn w:val="Normal"/>
    <w:link w:val="HeaderChar"/>
    <w:uiPriority w:val="99"/>
    <w:unhideWhenUsed/>
    <w:rsid w:val="004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F5"/>
  </w:style>
  <w:style w:type="paragraph" w:styleId="Footer">
    <w:name w:val="footer"/>
    <w:basedOn w:val="Normal"/>
    <w:link w:val="FooterChar"/>
    <w:uiPriority w:val="99"/>
    <w:unhideWhenUsed/>
    <w:rsid w:val="0043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F5"/>
  </w:style>
  <w:style w:type="paragraph" w:customStyle="1" w:styleId="Chapter">
    <w:name w:val="Chapter"/>
    <w:basedOn w:val="Normal"/>
    <w:next w:val="Normal"/>
    <w:rsid w:val="0001267D"/>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subpar">
    <w:name w:val="subpar"/>
    <w:basedOn w:val="BodyTextIndent3"/>
    <w:rsid w:val="0001267D"/>
    <w:pPr>
      <w:tabs>
        <w:tab w:val="num" w:pos="720"/>
        <w:tab w:val="num" w:pos="1152"/>
      </w:tabs>
      <w:spacing w:before="120" w:line="240" w:lineRule="auto"/>
      <w:ind w:left="1152" w:hanging="72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01267D"/>
    <w:pPr>
      <w:tabs>
        <w:tab w:val="clear" w:pos="720"/>
        <w:tab w:val="left" w:pos="0"/>
        <w:tab w:val="num" w:pos="864"/>
        <w:tab w:val="num" w:pos="1296"/>
      </w:tabs>
      <w:ind w:left="1296" w:hanging="864"/>
    </w:pPr>
  </w:style>
  <w:style w:type="paragraph" w:styleId="BodyTextIndent3">
    <w:name w:val="Body Text Indent 3"/>
    <w:basedOn w:val="Normal"/>
    <w:link w:val="BodyTextIndent3Char"/>
    <w:uiPriority w:val="99"/>
    <w:semiHidden/>
    <w:unhideWhenUsed/>
    <w:rsid w:val="000126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267D"/>
    <w:rPr>
      <w:sz w:val="16"/>
      <w:szCs w:val="16"/>
    </w:rPr>
  </w:style>
  <w:style w:type="character" w:styleId="BookTitle">
    <w:name w:val="Book Title"/>
    <w:basedOn w:val="DefaultParagraphFont"/>
    <w:uiPriority w:val="33"/>
    <w:qFormat/>
    <w:rsid w:val="00D15504"/>
    <w:rPr>
      <w:b/>
      <w:bCs/>
      <w:smallCaps/>
      <w:spacing w:val="5"/>
    </w:rPr>
  </w:style>
  <w:style w:type="character" w:styleId="CommentReference">
    <w:name w:val="annotation reference"/>
    <w:basedOn w:val="DefaultParagraphFont"/>
    <w:unhideWhenUsed/>
    <w:rsid w:val="007A2003"/>
    <w:rPr>
      <w:sz w:val="16"/>
      <w:szCs w:val="16"/>
    </w:rPr>
  </w:style>
  <w:style w:type="paragraph" w:styleId="CommentText">
    <w:name w:val="annotation text"/>
    <w:basedOn w:val="Normal"/>
    <w:link w:val="CommentTextChar"/>
    <w:unhideWhenUsed/>
    <w:rsid w:val="007A2003"/>
    <w:pPr>
      <w:spacing w:line="240" w:lineRule="auto"/>
    </w:pPr>
    <w:rPr>
      <w:sz w:val="20"/>
      <w:szCs w:val="20"/>
    </w:rPr>
  </w:style>
  <w:style w:type="character" w:customStyle="1" w:styleId="CommentTextChar">
    <w:name w:val="Comment Text Char"/>
    <w:basedOn w:val="DefaultParagraphFont"/>
    <w:link w:val="CommentText"/>
    <w:rsid w:val="007A2003"/>
    <w:rPr>
      <w:sz w:val="20"/>
      <w:szCs w:val="20"/>
    </w:rPr>
  </w:style>
  <w:style w:type="paragraph" w:styleId="CommentSubject">
    <w:name w:val="annotation subject"/>
    <w:basedOn w:val="CommentText"/>
    <w:next w:val="CommentText"/>
    <w:link w:val="CommentSubjectChar"/>
    <w:uiPriority w:val="99"/>
    <w:semiHidden/>
    <w:unhideWhenUsed/>
    <w:rsid w:val="007A2003"/>
    <w:rPr>
      <w:b/>
      <w:bCs/>
    </w:rPr>
  </w:style>
  <w:style w:type="character" w:customStyle="1" w:styleId="CommentSubjectChar">
    <w:name w:val="Comment Subject Char"/>
    <w:basedOn w:val="CommentTextChar"/>
    <w:link w:val="CommentSubject"/>
    <w:uiPriority w:val="99"/>
    <w:semiHidden/>
    <w:rsid w:val="007A2003"/>
    <w:rPr>
      <w:b/>
      <w:bCs/>
      <w:sz w:val="20"/>
      <w:szCs w:val="20"/>
    </w:rPr>
  </w:style>
  <w:style w:type="character" w:customStyle="1" w:styleId="Heading1Char">
    <w:name w:val="Heading 1 Char"/>
    <w:basedOn w:val="DefaultParagraphFont"/>
    <w:link w:val="Heading1"/>
    <w:uiPriority w:val="9"/>
    <w:rsid w:val="00504D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04D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04DF6"/>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04DF6"/>
    <w:rPr>
      <w:rFonts w:ascii="Arial" w:eastAsia="Times New Roman" w:hAnsi="Arial" w:cs="Times New Roman"/>
      <w:b/>
      <w:sz w:val="24"/>
      <w:szCs w:val="20"/>
    </w:rPr>
  </w:style>
  <w:style w:type="paragraph" w:styleId="EndnoteText">
    <w:name w:val="endnote text"/>
    <w:basedOn w:val="Normal"/>
    <w:link w:val="EndnoteTextChar"/>
    <w:uiPriority w:val="99"/>
    <w:rsid w:val="00E96555"/>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rsid w:val="00E96555"/>
    <w:rPr>
      <w:rFonts w:ascii="Times New Roman" w:eastAsia="MS Mincho" w:hAnsi="Times New Roman" w:cs="Times New Roman"/>
      <w:sz w:val="20"/>
      <w:szCs w:val="20"/>
    </w:rPr>
  </w:style>
  <w:style w:type="character" w:styleId="EndnoteReference">
    <w:name w:val="endnote reference"/>
    <w:uiPriority w:val="99"/>
    <w:rsid w:val="00E96555"/>
    <w:rPr>
      <w:vertAlign w:val="superscript"/>
    </w:rPr>
  </w:style>
  <w:style w:type="paragraph" w:customStyle="1" w:styleId="Default">
    <w:name w:val="Default"/>
    <w:rsid w:val="00B55C4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94794B"/>
    <w:pPr>
      <w:spacing w:line="240" w:lineRule="auto"/>
    </w:pPr>
    <w:rPr>
      <w:b/>
      <w:bCs/>
      <w:color w:val="4F81BD" w:themeColor="accent1"/>
      <w:sz w:val="18"/>
      <w:szCs w:val="18"/>
    </w:rPr>
  </w:style>
  <w:style w:type="character" w:styleId="Hyperlink">
    <w:name w:val="Hyperlink"/>
    <w:basedOn w:val="DefaultParagraphFont"/>
    <w:uiPriority w:val="99"/>
    <w:unhideWhenUsed/>
    <w:rsid w:val="00E433E4"/>
    <w:rPr>
      <w:color w:val="0000FF" w:themeColor="hyperlink"/>
      <w:u w:val="single"/>
    </w:rPr>
  </w:style>
  <w:style w:type="character" w:styleId="Emphasis">
    <w:name w:val="Emphasis"/>
    <w:basedOn w:val="DefaultParagraphFont"/>
    <w:uiPriority w:val="20"/>
    <w:qFormat/>
    <w:rsid w:val="00E433E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04DF6"/>
    <w:pPr>
      <w:keepNext/>
      <w:numPr>
        <w:numId w:val="9"/>
      </w:numPr>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qFormat/>
    <w:rsid w:val="00504DF6"/>
    <w:pPr>
      <w:keepNext/>
      <w:numPr>
        <w:ilvl w:val="1"/>
        <w:numId w:val="9"/>
      </w:numPr>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504DF6"/>
    <w:pPr>
      <w:keepNext/>
      <w:numPr>
        <w:ilvl w:val="2"/>
        <w:numId w:val="9"/>
      </w:numPr>
      <w:spacing w:before="240" w:after="6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uiPriority w:val="9"/>
    <w:qFormat/>
    <w:rsid w:val="00504DF6"/>
    <w:pPr>
      <w:keepNext/>
      <w:numPr>
        <w:ilvl w:val="3"/>
        <w:numId w:val="9"/>
      </w:numPr>
      <w:spacing w:before="240" w:after="60" w:line="240" w:lineRule="auto"/>
      <w:outlineLvl w:val="3"/>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4232"/>
    <w:pPr>
      <w:ind w:left="720"/>
      <w:contextualSpacing/>
    </w:pPr>
  </w:style>
  <w:style w:type="paragraph" w:styleId="BalloonText">
    <w:name w:val="Balloon Text"/>
    <w:basedOn w:val="Normal"/>
    <w:link w:val="BalloonTextChar"/>
    <w:uiPriority w:val="99"/>
    <w:semiHidden/>
    <w:unhideWhenUsed/>
    <w:rsid w:val="003A08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82E"/>
    <w:rPr>
      <w:rFonts w:ascii="Tahoma" w:hAnsi="Tahoma" w:cs="Tahoma"/>
      <w:sz w:val="16"/>
      <w:szCs w:val="16"/>
    </w:rPr>
  </w:style>
  <w:style w:type="table" w:styleId="TableGrid">
    <w:name w:val="Table Grid"/>
    <w:basedOn w:val="TableNormal"/>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82E"/>
    <w:pPr>
      <w:spacing w:after="0" w:line="240" w:lineRule="auto"/>
    </w:pPr>
    <w:rPr>
      <w:rFonts w:ascii="Calibri" w:eastAsia="Calibri" w:hAnsi="Calibri" w:cs="Times New Roman"/>
      <w:lang w:val="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n,Texto nota pie IIRSA,ft,footnote,Texto,nota,pie,Ref.,al,F1,texto de nota al pie,NOTA AL PIE TESIS PUCP,foottextfra,F,footnote text,Geneva 9,Font: Geneva 9,Boston 10,f,Fußnotentextr,Texto nota pie Car Car,single space,Fußn,Style 25"/>
    <w:basedOn w:val="Normal"/>
    <w:link w:val="FootnoteTextChar"/>
    <w:uiPriority w:val="99"/>
    <w:unhideWhenUsed/>
    <w:rsid w:val="00472D74"/>
    <w:pPr>
      <w:spacing w:after="0" w:line="240" w:lineRule="auto"/>
    </w:pPr>
    <w:rPr>
      <w:rFonts w:ascii="Times New Roman" w:hAnsi="Times New Roman"/>
      <w:sz w:val="20"/>
      <w:szCs w:val="20"/>
    </w:rPr>
  </w:style>
  <w:style w:type="character" w:customStyle="1" w:styleId="FootnoteTextChar">
    <w:name w:val="Footnote Text Char"/>
    <w:aliases w:val="fn Char,Texto nota pie IIRSA Char,ft Char,footnote Char,Texto Char,nota Char,pie Char,Ref. Char,al Char,F1 Char,texto de nota al pie Char,NOTA AL PIE TESIS PUCP Char,foottextfra Char,F Char,footnote text Char,Geneva 9 Char,f Char"/>
    <w:basedOn w:val="DefaultParagraphFont"/>
    <w:link w:val="FootnoteText"/>
    <w:uiPriority w:val="99"/>
    <w:rsid w:val="00472D74"/>
    <w:rPr>
      <w:rFonts w:ascii="Times New Roman" w:hAnsi="Times New Roman"/>
      <w:sz w:val="20"/>
      <w:szCs w:val="20"/>
    </w:rPr>
  </w:style>
  <w:style w:type="character" w:styleId="FootnoteReference">
    <w:name w:val="footnote reference"/>
    <w:aliases w:val="titulo 2,16 Point,Superscript 6 Point,ftref,Fußnotenzeichen DISS,BVI fnr, BVI fnr,Знак сноски 1,referencia nota al pie,FC,Footnote Referencefra,Ref. de nota al pie.,Stinking Styles11,Texto de nota al pie,Footnote symbol,Footnote"/>
    <w:basedOn w:val="DefaultParagraphFont"/>
    <w:uiPriority w:val="99"/>
    <w:unhideWhenUsed/>
    <w:rsid w:val="00F01B9A"/>
    <w:rPr>
      <w:vertAlign w:val="superscript"/>
    </w:rPr>
  </w:style>
  <w:style w:type="paragraph" w:customStyle="1" w:styleId="Paragraph">
    <w:name w:val="Paragraph"/>
    <w:aliases w:val="paragraph,p,PARAGRAPH,PG,pa,at"/>
    <w:basedOn w:val="BodyTextIndent"/>
    <w:link w:val="ParagraphChar"/>
    <w:qFormat/>
    <w:rsid w:val="009116CD"/>
    <w:pPr>
      <w:tabs>
        <w:tab w:val="num" w:pos="720"/>
      </w:tabs>
      <w:spacing w:before="120" w:line="240" w:lineRule="auto"/>
      <w:ind w:left="720" w:hanging="720"/>
      <w:jc w:val="both"/>
      <w:outlineLvl w:val="1"/>
    </w:pPr>
    <w:rPr>
      <w:rFonts w:ascii="Times New Roman" w:eastAsia="Times New Roman" w:hAnsi="Times New Roman" w:cs="Times New Roman"/>
      <w:sz w:val="24"/>
      <w:szCs w:val="20"/>
      <w:lang w:val="es-ES_tradnl"/>
    </w:rPr>
  </w:style>
  <w:style w:type="character" w:customStyle="1" w:styleId="ParagraphChar">
    <w:name w:val="Paragraph Char"/>
    <w:link w:val="Paragraph"/>
    <w:locked/>
    <w:rsid w:val="009116CD"/>
    <w:rPr>
      <w:rFonts w:ascii="Times New Roman" w:eastAsia="Times New Roman" w:hAnsi="Times New Roman" w:cs="Times New Roman"/>
      <w:sz w:val="24"/>
      <w:szCs w:val="20"/>
      <w:lang w:val="es-ES_tradnl"/>
    </w:rPr>
  </w:style>
  <w:style w:type="paragraph" w:styleId="BodyTextIndent">
    <w:name w:val="Body Text Indent"/>
    <w:basedOn w:val="Normal"/>
    <w:link w:val="BodyTextIndentChar"/>
    <w:uiPriority w:val="99"/>
    <w:semiHidden/>
    <w:unhideWhenUsed/>
    <w:rsid w:val="009116CD"/>
    <w:pPr>
      <w:spacing w:after="120"/>
      <w:ind w:left="360"/>
    </w:pPr>
  </w:style>
  <w:style w:type="character" w:customStyle="1" w:styleId="BodyTextIndentChar">
    <w:name w:val="Body Text Indent Char"/>
    <w:basedOn w:val="DefaultParagraphFont"/>
    <w:link w:val="BodyTextIndent"/>
    <w:uiPriority w:val="99"/>
    <w:semiHidden/>
    <w:rsid w:val="009116CD"/>
  </w:style>
  <w:style w:type="paragraph" w:styleId="Header">
    <w:name w:val="header"/>
    <w:basedOn w:val="Normal"/>
    <w:link w:val="HeaderChar"/>
    <w:uiPriority w:val="99"/>
    <w:unhideWhenUsed/>
    <w:rsid w:val="004370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0F5"/>
  </w:style>
  <w:style w:type="paragraph" w:styleId="Footer">
    <w:name w:val="footer"/>
    <w:basedOn w:val="Normal"/>
    <w:link w:val="FooterChar"/>
    <w:uiPriority w:val="99"/>
    <w:unhideWhenUsed/>
    <w:rsid w:val="004370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0F5"/>
  </w:style>
  <w:style w:type="paragraph" w:customStyle="1" w:styleId="Chapter">
    <w:name w:val="Chapter"/>
    <w:basedOn w:val="Normal"/>
    <w:next w:val="Normal"/>
    <w:rsid w:val="0001267D"/>
    <w:pPr>
      <w:keepNext/>
      <w:tabs>
        <w:tab w:val="num" w:pos="648"/>
        <w:tab w:val="left" w:pos="1440"/>
      </w:tabs>
      <w:spacing w:before="240" w:after="240" w:line="240" w:lineRule="auto"/>
      <w:ind w:firstLine="288"/>
      <w:jc w:val="center"/>
    </w:pPr>
    <w:rPr>
      <w:rFonts w:ascii="Times New Roman" w:eastAsia="Times New Roman" w:hAnsi="Times New Roman" w:cs="Times New Roman"/>
      <w:b/>
      <w:smallCaps/>
      <w:sz w:val="24"/>
      <w:szCs w:val="20"/>
      <w:lang w:val="es-ES_tradnl"/>
    </w:rPr>
  </w:style>
  <w:style w:type="paragraph" w:customStyle="1" w:styleId="subpar">
    <w:name w:val="subpar"/>
    <w:basedOn w:val="BodyTextIndent3"/>
    <w:rsid w:val="0001267D"/>
    <w:pPr>
      <w:tabs>
        <w:tab w:val="num" w:pos="720"/>
        <w:tab w:val="num" w:pos="1152"/>
      </w:tabs>
      <w:spacing w:before="120" w:line="240" w:lineRule="auto"/>
      <w:ind w:left="1152" w:hanging="720"/>
      <w:jc w:val="both"/>
      <w:outlineLvl w:val="2"/>
    </w:pPr>
    <w:rPr>
      <w:rFonts w:ascii="Times New Roman" w:eastAsia="Times New Roman" w:hAnsi="Times New Roman" w:cs="Times New Roman"/>
      <w:sz w:val="24"/>
      <w:szCs w:val="20"/>
      <w:lang w:val="es-ES_tradnl"/>
    </w:rPr>
  </w:style>
  <w:style w:type="paragraph" w:customStyle="1" w:styleId="SubSubPar">
    <w:name w:val="SubSubPar"/>
    <w:basedOn w:val="subpar"/>
    <w:rsid w:val="0001267D"/>
    <w:pPr>
      <w:tabs>
        <w:tab w:val="clear" w:pos="720"/>
        <w:tab w:val="left" w:pos="0"/>
        <w:tab w:val="num" w:pos="864"/>
        <w:tab w:val="num" w:pos="1296"/>
      </w:tabs>
      <w:ind w:left="1296" w:hanging="864"/>
    </w:pPr>
  </w:style>
  <w:style w:type="paragraph" w:styleId="BodyTextIndent3">
    <w:name w:val="Body Text Indent 3"/>
    <w:basedOn w:val="Normal"/>
    <w:link w:val="BodyTextIndent3Char"/>
    <w:uiPriority w:val="99"/>
    <w:semiHidden/>
    <w:unhideWhenUsed/>
    <w:rsid w:val="0001267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1267D"/>
    <w:rPr>
      <w:sz w:val="16"/>
      <w:szCs w:val="16"/>
    </w:rPr>
  </w:style>
  <w:style w:type="character" w:styleId="BookTitle">
    <w:name w:val="Book Title"/>
    <w:basedOn w:val="DefaultParagraphFont"/>
    <w:uiPriority w:val="33"/>
    <w:qFormat/>
    <w:rsid w:val="00D15504"/>
    <w:rPr>
      <w:b/>
      <w:bCs/>
      <w:smallCaps/>
      <w:spacing w:val="5"/>
    </w:rPr>
  </w:style>
  <w:style w:type="character" w:styleId="CommentReference">
    <w:name w:val="annotation reference"/>
    <w:basedOn w:val="DefaultParagraphFont"/>
    <w:unhideWhenUsed/>
    <w:rsid w:val="007A2003"/>
    <w:rPr>
      <w:sz w:val="16"/>
      <w:szCs w:val="16"/>
    </w:rPr>
  </w:style>
  <w:style w:type="paragraph" w:styleId="CommentText">
    <w:name w:val="annotation text"/>
    <w:basedOn w:val="Normal"/>
    <w:link w:val="CommentTextChar"/>
    <w:unhideWhenUsed/>
    <w:rsid w:val="007A2003"/>
    <w:pPr>
      <w:spacing w:line="240" w:lineRule="auto"/>
    </w:pPr>
    <w:rPr>
      <w:sz w:val="20"/>
      <w:szCs w:val="20"/>
    </w:rPr>
  </w:style>
  <w:style w:type="character" w:customStyle="1" w:styleId="CommentTextChar">
    <w:name w:val="Comment Text Char"/>
    <w:basedOn w:val="DefaultParagraphFont"/>
    <w:link w:val="CommentText"/>
    <w:rsid w:val="007A2003"/>
    <w:rPr>
      <w:sz w:val="20"/>
      <w:szCs w:val="20"/>
    </w:rPr>
  </w:style>
  <w:style w:type="paragraph" w:styleId="CommentSubject">
    <w:name w:val="annotation subject"/>
    <w:basedOn w:val="CommentText"/>
    <w:next w:val="CommentText"/>
    <w:link w:val="CommentSubjectChar"/>
    <w:uiPriority w:val="99"/>
    <w:semiHidden/>
    <w:unhideWhenUsed/>
    <w:rsid w:val="007A2003"/>
    <w:rPr>
      <w:b/>
      <w:bCs/>
    </w:rPr>
  </w:style>
  <w:style w:type="character" w:customStyle="1" w:styleId="CommentSubjectChar">
    <w:name w:val="Comment Subject Char"/>
    <w:basedOn w:val="CommentTextChar"/>
    <w:link w:val="CommentSubject"/>
    <w:uiPriority w:val="99"/>
    <w:semiHidden/>
    <w:rsid w:val="007A2003"/>
    <w:rPr>
      <w:b/>
      <w:bCs/>
      <w:sz w:val="20"/>
      <w:szCs w:val="20"/>
    </w:rPr>
  </w:style>
  <w:style w:type="character" w:customStyle="1" w:styleId="Heading1Char">
    <w:name w:val="Heading 1 Char"/>
    <w:basedOn w:val="DefaultParagraphFont"/>
    <w:link w:val="Heading1"/>
    <w:uiPriority w:val="9"/>
    <w:rsid w:val="00504DF6"/>
    <w:rPr>
      <w:rFonts w:ascii="Arial" w:eastAsia="Times New Roman" w:hAnsi="Arial" w:cs="Times New Roman"/>
      <w:b/>
      <w:kern w:val="28"/>
      <w:sz w:val="28"/>
      <w:szCs w:val="20"/>
    </w:rPr>
  </w:style>
  <w:style w:type="character" w:customStyle="1" w:styleId="Heading2Char">
    <w:name w:val="Heading 2 Char"/>
    <w:basedOn w:val="DefaultParagraphFont"/>
    <w:link w:val="Heading2"/>
    <w:uiPriority w:val="9"/>
    <w:rsid w:val="00504DF6"/>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504DF6"/>
    <w:rPr>
      <w:rFonts w:ascii="Arial" w:eastAsia="Times New Roman" w:hAnsi="Arial" w:cs="Times New Roman"/>
      <w:sz w:val="24"/>
      <w:szCs w:val="20"/>
    </w:rPr>
  </w:style>
  <w:style w:type="character" w:customStyle="1" w:styleId="Heading4Char">
    <w:name w:val="Heading 4 Char"/>
    <w:basedOn w:val="DefaultParagraphFont"/>
    <w:link w:val="Heading4"/>
    <w:uiPriority w:val="9"/>
    <w:rsid w:val="00504DF6"/>
    <w:rPr>
      <w:rFonts w:ascii="Arial" w:eastAsia="Times New Roman" w:hAnsi="Arial" w:cs="Times New Roman"/>
      <w:b/>
      <w:sz w:val="24"/>
      <w:szCs w:val="20"/>
    </w:rPr>
  </w:style>
  <w:style w:type="paragraph" w:styleId="EndnoteText">
    <w:name w:val="endnote text"/>
    <w:basedOn w:val="Normal"/>
    <w:link w:val="EndnoteTextChar"/>
    <w:uiPriority w:val="99"/>
    <w:rsid w:val="00E96555"/>
    <w:pPr>
      <w:spacing w:after="0" w:line="240" w:lineRule="auto"/>
    </w:pPr>
    <w:rPr>
      <w:rFonts w:ascii="Times New Roman" w:eastAsia="MS Mincho" w:hAnsi="Times New Roman" w:cs="Times New Roman"/>
      <w:sz w:val="20"/>
      <w:szCs w:val="20"/>
    </w:rPr>
  </w:style>
  <w:style w:type="character" w:customStyle="1" w:styleId="EndnoteTextChar">
    <w:name w:val="Endnote Text Char"/>
    <w:basedOn w:val="DefaultParagraphFont"/>
    <w:link w:val="EndnoteText"/>
    <w:uiPriority w:val="99"/>
    <w:rsid w:val="00E96555"/>
    <w:rPr>
      <w:rFonts w:ascii="Times New Roman" w:eastAsia="MS Mincho" w:hAnsi="Times New Roman" w:cs="Times New Roman"/>
      <w:sz w:val="20"/>
      <w:szCs w:val="20"/>
    </w:rPr>
  </w:style>
  <w:style w:type="character" w:styleId="EndnoteReference">
    <w:name w:val="endnote reference"/>
    <w:uiPriority w:val="99"/>
    <w:rsid w:val="00E96555"/>
    <w:rPr>
      <w:vertAlign w:val="superscript"/>
    </w:rPr>
  </w:style>
  <w:style w:type="paragraph" w:customStyle="1" w:styleId="Default">
    <w:name w:val="Default"/>
    <w:rsid w:val="00B55C4C"/>
    <w:pPr>
      <w:autoSpaceDE w:val="0"/>
      <w:autoSpaceDN w:val="0"/>
      <w:adjustRightInd w:val="0"/>
      <w:spacing w:after="0" w:line="240" w:lineRule="auto"/>
    </w:pPr>
    <w:rPr>
      <w:rFonts w:ascii="Times New Roman" w:hAnsi="Times New Roman" w:cs="Times New Roman"/>
      <w:color w:val="000000"/>
      <w:sz w:val="24"/>
      <w:szCs w:val="24"/>
    </w:rPr>
  </w:style>
  <w:style w:type="paragraph" w:styleId="Caption">
    <w:name w:val="caption"/>
    <w:basedOn w:val="Normal"/>
    <w:next w:val="Normal"/>
    <w:uiPriority w:val="35"/>
    <w:unhideWhenUsed/>
    <w:qFormat/>
    <w:rsid w:val="0094794B"/>
    <w:pPr>
      <w:spacing w:line="240" w:lineRule="auto"/>
    </w:pPr>
    <w:rPr>
      <w:b/>
      <w:bCs/>
      <w:color w:val="4F81BD" w:themeColor="accent1"/>
      <w:sz w:val="18"/>
      <w:szCs w:val="18"/>
    </w:rPr>
  </w:style>
  <w:style w:type="character" w:styleId="Hyperlink">
    <w:name w:val="Hyperlink"/>
    <w:basedOn w:val="DefaultParagraphFont"/>
    <w:uiPriority w:val="99"/>
    <w:unhideWhenUsed/>
    <w:rsid w:val="00E433E4"/>
    <w:rPr>
      <w:color w:val="0000FF" w:themeColor="hyperlink"/>
      <w:u w:val="single"/>
    </w:rPr>
  </w:style>
  <w:style w:type="character" w:styleId="Emphasis">
    <w:name w:val="Emphasis"/>
    <w:basedOn w:val="DefaultParagraphFont"/>
    <w:uiPriority w:val="20"/>
    <w:qFormat/>
    <w:rsid w:val="00E433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89789">
      <w:bodyDiv w:val="1"/>
      <w:marLeft w:val="0"/>
      <w:marRight w:val="0"/>
      <w:marTop w:val="0"/>
      <w:marBottom w:val="0"/>
      <w:divBdr>
        <w:top w:val="none" w:sz="0" w:space="0" w:color="auto"/>
        <w:left w:val="none" w:sz="0" w:space="0" w:color="auto"/>
        <w:bottom w:val="none" w:sz="0" w:space="0" w:color="auto"/>
        <w:right w:val="none" w:sz="0" w:space="0" w:color="auto"/>
      </w:divBdr>
    </w:div>
    <w:div w:id="253442087">
      <w:bodyDiv w:val="1"/>
      <w:marLeft w:val="0"/>
      <w:marRight w:val="0"/>
      <w:marTop w:val="0"/>
      <w:marBottom w:val="0"/>
      <w:divBdr>
        <w:top w:val="none" w:sz="0" w:space="0" w:color="auto"/>
        <w:left w:val="none" w:sz="0" w:space="0" w:color="auto"/>
        <w:bottom w:val="none" w:sz="0" w:space="0" w:color="auto"/>
        <w:right w:val="none" w:sz="0" w:space="0" w:color="auto"/>
      </w:divBdr>
    </w:div>
    <w:div w:id="299842417">
      <w:bodyDiv w:val="1"/>
      <w:marLeft w:val="0"/>
      <w:marRight w:val="0"/>
      <w:marTop w:val="0"/>
      <w:marBottom w:val="0"/>
      <w:divBdr>
        <w:top w:val="none" w:sz="0" w:space="0" w:color="auto"/>
        <w:left w:val="none" w:sz="0" w:space="0" w:color="auto"/>
        <w:bottom w:val="none" w:sz="0" w:space="0" w:color="auto"/>
        <w:right w:val="none" w:sz="0" w:space="0" w:color="auto"/>
      </w:divBdr>
    </w:div>
    <w:div w:id="498621106">
      <w:bodyDiv w:val="1"/>
      <w:marLeft w:val="0"/>
      <w:marRight w:val="0"/>
      <w:marTop w:val="0"/>
      <w:marBottom w:val="0"/>
      <w:divBdr>
        <w:top w:val="none" w:sz="0" w:space="0" w:color="auto"/>
        <w:left w:val="none" w:sz="0" w:space="0" w:color="auto"/>
        <w:bottom w:val="none" w:sz="0" w:space="0" w:color="auto"/>
        <w:right w:val="none" w:sz="0" w:space="0" w:color="auto"/>
      </w:divBdr>
    </w:div>
    <w:div w:id="581255918">
      <w:bodyDiv w:val="1"/>
      <w:marLeft w:val="0"/>
      <w:marRight w:val="0"/>
      <w:marTop w:val="0"/>
      <w:marBottom w:val="0"/>
      <w:divBdr>
        <w:top w:val="none" w:sz="0" w:space="0" w:color="auto"/>
        <w:left w:val="none" w:sz="0" w:space="0" w:color="auto"/>
        <w:bottom w:val="none" w:sz="0" w:space="0" w:color="auto"/>
        <w:right w:val="none" w:sz="0" w:space="0" w:color="auto"/>
      </w:divBdr>
    </w:div>
    <w:div w:id="747730185">
      <w:bodyDiv w:val="1"/>
      <w:marLeft w:val="0"/>
      <w:marRight w:val="0"/>
      <w:marTop w:val="0"/>
      <w:marBottom w:val="0"/>
      <w:divBdr>
        <w:top w:val="none" w:sz="0" w:space="0" w:color="auto"/>
        <w:left w:val="none" w:sz="0" w:space="0" w:color="auto"/>
        <w:bottom w:val="none" w:sz="0" w:space="0" w:color="auto"/>
        <w:right w:val="none" w:sz="0" w:space="0" w:color="auto"/>
      </w:divBdr>
    </w:div>
    <w:div w:id="16829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uit.gov.co/inici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tal.anla.gov.co/SILPA/TESTSILPA/Security/Login.aspx?ReturnUrl=%2fSILPA%2fTestSilpa%2fSecurity%2fdefault.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p.presidencia.gov.co/sitios/normativa/decretos/2015/Decretos2015/DECRETO%201076%20DEL%2026%20DE%20MAYO%20DE%202015.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A5EAD027-34C5-4265-8527-119FC1E4D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11</Pages>
  <Words>3012</Words>
  <Characters>17170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Inter-American Development Bank</Company>
  <LinksUpToDate>false</LinksUpToDate>
  <CharactersWithSpaces>20142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annabellag</cp:lastModifiedBy>
  <cp:revision>5</cp:revision>
  <cp:lastPrinted>2015-06-26T18:42:00Z</cp:lastPrinted>
  <dcterms:created xsi:type="dcterms:W3CDTF">2015-09-14T18:33:00Z</dcterms:created>
  <dcterms:modified xsi:type="dcterms:W3CDTF">2016-02-08T16:39:00Z</dcterms:modified>
</cp:coreProperties>
</file>