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C2" w:rsidRPr="005711D6" w:rsidRDefault="0041197B" w:rsidP="00D744C2">
      <w:pPr>
        <w:widowControl/>
        <w:tabs>
          <w:tab w:val="right" w:pos="9360"/>
        </w:tabs>
        <w:jc w:val="right"/>
        <w:rPr>
          <w:rFonts w:ascii="Times New Roman" w:hAnsi="Times New Roman"/>
          <w:sz w:val="20"/>
          <w:lang w:val="pt-BR"/>
        </w:rPr>
      </w:pPr>
      <w:r w:rsidRPr="005711D6">
        <w:rPr>
          <w:rFonts w:ascii="Times New Roman" w:hAnsi="Times New Roman"/>
          <w:sz w:val="20"/>
          <w:lang w:val="pt-BR"/>
        </w:rPr>
        <w:t>LEG/SGO/CID/IDBDOCS#36502249</w:t>
      </w:r>
    </w:p>
    <w:p w:rsidR="008F116B" w:rsidRPr="005711D6" w:rsidRDefault="008F116B">
      <w:pPr>
        <w:widowControl/>
        <w:jc w:val="both"/>
        <w:rPr>
          <w:rFonts w:ascii="Times New Roman" w:hAnsi="Times New Roman"/>
          <w:szCs w:val="24"/>
          <w:lang w:val="pt-BR"/>
        </w:rPr>
      </w:pPr>
    </w:p>
    <w:p w:rsidR="00D9193D" w:rsidRPr="005711D6" w:rsidRDefault="00D9193D">
      <w:pPr>
        <w:widowControl/>
        <w:jc w:val="both"/>
        <w:rPr>
          <w:rFonts w:ascii="Times New Roman" w:hAnsi="Times New Roman"/>
          <w:szCs w:val="24"/>
          <w:lang w:val="pt-BR"/>
        </w:rPr>
      </w:pPr>
    </w:p>
    <w:p w:rsidR="008F116B" w:rsidRPr="005711D6" w:rsidRDefault="008F116B" w:rsidP="007B5DC0">
      <w:pPr>
        <w:widowControl/>
        <w:tabs>
          <w:tab w:val="center" w:pos="4680"/>
        </w:tabs>
        <w:jc w:val="center"/>
        <w:rPr>
          <w:rFonts w:ascii="Times New Roman" w:hAnsi="Times New Roman"/>
          <w:szCs w:val="24"/>
          <w:lang w:val="pt-BR"/>
        </w:rPr>
      </w:pPr>
      <w:r w:rsidRPr="005711D6">
        <w:rPr>
          <w:rFonts w:ascii="Times New Roman" w:hAnsi="Times New Roman"/>
          <w:b/>
          <w:szCs w:val="24"/>
          <w:lang w:val="pt-BR"/>
        </w:rPr>
        <w:t xml:space="preserve">ANEXO </w:t>
      </w:r>
      <w:r w:rsidR="00D744C2" w:rsidRPr="005711D6">
        <w:rPr>
          <w:rFonts w:ascii="Times New Roman" w:hAnsi="Times New Roman"/>
          <w:b/>
          <w:szCs w:val="24"/>
          <w:lang w:val="pt-BR"/>
        </w:rPr>
        <w:t>ÚNICO</w:t>
      </w:r>
    </w:p>
    <w:p w:rsidR="00D9193D" w:rsidRPr="005711D6" w:rsidRDefault="00D9193D" w:rsidP="007B5DC0">
      <w:pPr>
        <w:widowControl/>
        <w:jc w:val="center"/>
        <w:rPr>
          <w:rFonts w:ascii="Times New Roman" w:hAnsi="Times New Roman"/>
          <w:szCs w:val="24"/>
          <w:lang w:val="pt-BR"/>
        </w:rPr>
      </w:pPr>
    </w:p>
    <w:p w:rsidR="008F116B" w:rsidRPr="00FD774A" w:rsidRDefault="00667A55" w:rsidP="007B5DC0">
      <w:pPr>
        <w:widowControl/>
        <w:tabs>
          <w:tab w:val="center" w:pos="4680"/>
        </w:tabs>
        <w:jc w:val="center"/>
        <w:rPr>
          <w:rFonts w:ascii="Times New Roman" w:hAnsi="Times New Roman"/>
          <w:szCs w:val="24"/>
          <w:lang w:val="es-ES"/>
        </w:rPr>
      </w:pPr>
      <w:r w:rsidRPr="00FD774A">
        <w:rPr>
          <w:rFonts w:ascii="Times New Roman" w:hAnsi="Times New Roman"/>
          <w:b/>
          <w:szCs w:val="24"/>
          <w:u w:val="single"/>
          <w:lang w:val="es-ES"/>
        </w:rPr>
        <w:t xml:space="preserve">EL </w:t>
      </w:r>
      <w:r w:rsidR="008F116B" w:rsidRPr="00FD774A">
        <w:rPr>
          <w:rFonts w:ascii="Times New Roman" w:hAnsi="Times New Roman"/>
          <w:b/>
          <w:szCs w:val="24"/>
          <w:u w:val="single"/>
          <w:lang w:val="es-ES"/>
        </w:rPr>
        <w:t>PR</w:t>
      </w:r>
      <w:r w:rsidRPr="00FD774A">
        <w:rPr>
          <w:rFonts w:ascii="Times New Roman" w:hAnsi="Times New Roman"/>
          <w:b/>
          <w:szCs w:val="24"/>
          <w:u w:val="single"/>
          <w:lang w:val="es-ES"/>
        </w:rPr>
        <w:t>OGRAMA</w:t>
      </w:r>
    </w:p>
    <w:p w:rsidR="008F116B" w:rsidRPr="00FD774A" w:rsidRDefault="008F116B">
      <w:pPr>
        <w:widowControl/>
        <w:jc w:val="both"/>
        <w:rPr>
          <w:rFonts w:ascii="Times New Roman" w:hAnsi="Times New Roman"/>
          <w:szCs w:val="24"/>
          <w:lang w:val="es-ES"/>
        </w:rPr>
      </w:pPr>
    </w:p>
    <w:p w:rsidR="006336D8" w:rsidRPr="00FD774A" w:rsidRDefault="00B818F9" w:rsidP="00B818F9">
      <w:pPr>
        <w:jc w:val="center"/>
        <w:rPr>
          <w:rFonts w:ascii="Times New Roman" w:hAnsi="Times New Roman"/>
          <w:b/>
          <w:szCs w:val="24"/>
          <w:lang w:val="es-ES"/>
        </w:rPr>
      </w:pPr>
      <w:r w:rsidRPr="00FD774A">
        <w:rPr>
          <w:rFonts w:ascii="Times New Roman" w:hAnsi="Times New Roman"/>
          <w:b/>
          <w:szCs w:val="24"/>
          <w:lang w:val="es-ES"/>
        </w:rPr>
        <w:t xml:space="preserve">Programa </w:t>
      </w:r>
      <w:r w:rsidR="006336D8" w:rsidRPr="00FD774A">
        <w:rPr>
          <w:rFonts w:ascii="Times New Roman" w:hAnsi="Times New Roman"/>
          <w:b/>
          <w:szCs w:val="24"/>
          <w:lang w:val="es-ES"/>
        </w:rPr>
        <w:t xml:space="preserve">de Apoyo al </w:t>
      </w:r>
      <w:r w:rsidRPr="00FD774A">
        <w:rPr>
          <w:rFonts w:ascii="Times New Roman" w:hAnsi="Times New Roman"/>
          <w:b/>
          <w:szCs w:val="24"/>
          <w:lang w:val="es-ES"/>
        </w:rPr>
        <w:t>Desarrollo</w:t>
      </w:r>
      <w:r w:rsidR="006336D8" w:rsidRPr="00FD774A">
        <w:rPr>
          <w:rFonts w:ascii="Times New Roman" w:hAnsi="Times New Roman"/>
          <w:b/>
          <w:szCs w:val="24"/>
          <w:lang w:val="es-ES"/>
        </w:rPr>
        <w:t xml:space="preserve"> Empresarial</w:t>
      </w:r>
      <w:r w:rsidRPr="00FD774A">
        <w:rPr>
          <w:rFonts w:ascii="Times New Roman" w:hAnsi="Times New Roman"/>
          <w:b/>
          <w:szCs w:val="24"/>
          <w:lang w:val="es-ES"/>
        </w:rPr>
        <w:t xml:space="preserve"> de </w:t>
      </w:r>
      <w:r w:rsidR="006336D8" w:rsidRPr="00FD774A">
        <w:rPr>
          <w:rFonts w:ascii="Times New Roman" w:hAnsi="Times New Roman"/>
          <w:b/>
          <w:szCs w:val="24"/>
          <w:lang w:val="es-ES"/>
        </w:rPr>
        <w:t>México</w:t>
      </w:r>
    </w:p>
    <w:p w:rsidR="00224B9A" w:rsidRDefault="006336D8" w:rsidP="00B818F9">
      <w:pPr>
        <w:jc w:val="center"/>
        <w:rPr>
          <w:rFonts w:ascii="Times New Roman" w:hAnsi="Times New Roman"/>
          <w:b/>
          <w:sz w:val="22"/>
          <w:szCs w:val="22"/>
          <w:lang w:val="es-ES"/>
        </w:rPr>
      </w:pPr>
      <w:r w:rsidRPr="00C2137F">
        <w:rPr>
          <w:rFonts w:ascii="Times New Roman" w:hAnsi="Times New Roman"/>
          <w:b/>
          <w:sz w:val="22"/>
          <w:szCs w:val="22"/>
          <w:lang w:val="es-ES"/>
        </w:rPr>
        <w:t>Segundo</w:t>
      </w:r>
      <w:r w:rsidR="00B818F9" w:rsidRPr="00C2137F">
        <w:rPr>
          <w:rFonts w:ascii="Times New Roman" w:hAnsi="Times New Roman"/>
          <w:b/>
          <w:sz w:val="22"/>
          <w:szCs w:val="22"/>
          <w:lang w:val="es-ES"/>
        </w:rPr>
        <w:t xml:space="preserve"> </w:t>
      </w:r>
      <w:r w:rsidRPr="00C2137F">
        <w:rPr>
          <w:rFonts w:ascii="Times New Roman" w:hAnsi="Times New Roman"/>
          <w:b/>
          <w:sz w:val="22"/>
          <w:szCs w:val="22"/>
          <w:lang w:val="es-ES"/>
        </w:rPr>
        <w:t>P</w:t>
      </w:r>
      <w:r w:rsidR="00B818F9" w:rsidRPr="00C2137F">
        <w:rPr>
          <w:rFonts w:ascii="Times New Roman" w:hAnsi="Times New Roman"/>
          <w:b/>
          <w:sz w:val="22"/>
          <w:szCs w:val="22"/>
          <w:lang w:val="es-ES"/>
        </w:rPr>
        <w:t>rograma bajo la Línea de Crédito Condicional</w:t>
      </w:r>
    </w:p>
    <w:p w:rsidR="00B818F9" w:rsidRPr="00FD774A" w:rsidRDefault="00B818F9" w:rsidP="00B818F9">
      <w:pPr>
        <w:jc w:val="center"/>
        <w:rPr>
          <w:rFonts w:ascii="Times New Roman" w:hAnsi="Times New Roman"/>
          <w:b/>
          <w:szCs w:val="24"/>
          <w:lang w:val="es-ES"/>
        </w:rPr>
      </w:pPr>
      <w:r w:rsidRPr="00C2137F">
        <w:rPr>
          <w:rFonts w:ascii="Times New Roman" w:hAnsi="Times New Roman"/>
          <w:b/>
          <w:sz w:val="22"/>
          <w:szCs w:val="22"/>
          <w:lang w:val="es-ES"/>
        </w:rPr>
        <w:t>para Proyectos de Inversión</w:t>
      </w:r>
      <w:r w:rsidR="00960DB1">
        <w:rPr>
          <w:rFonts w:ascii="Times New Roman" w:hAnsi="Times New Roman"/>
          <w:b/>
          <w:sz w:val="22"/>
          <w:szCs w:val="22"/>
          <w:lang w:val="es-ES"/>
        </w:rPr>
        <w:t xml:space="preserve"> </w:t>
      </w:r>
      <w:r w:rsidR="006336D8" w:rsidRPr="00C2137F">
        <w:rPr>
          <w:rFonts w:ascii="Times New Roman" w:hAnsi="Times New Roman"/>
          <w:b/>
          <w:sz w:val="22"/>
          <w:szCs w:val="22"/>
          <w:lang w:val="es-ES"/>
        </w:rPr>
        <w:t>ME-X1010</w:t>
      </w:r>
    </w:p>
    <w:p w:rsidR="008F116B" w:rsidRDefault="008F116B" w:rsidP="00B818F9">
      <w:pPr>
        <w:widowControl/>
        <w:jc w:val="center"/>
        <w:rPr>
          <w:rFonts w:ascii="Times New Roman" w:hAnsi="Times New Roman"/>
          <w:szCs w:val="24"/>
          <w:lang w:val="es-ES"/>
        </w:rPr>
      </w:pPr>
    </w:p>
    <w:p w:rsidR="00960DB1" w:rsidRPr="00FD774A" w:rsidRDefault="00960DB1" w:rsidP="00B818F9">
      <w:pPr>
        <w:widowControl/>
        <w:jc w:val="center"/>
        <w:rPr>
          <w:rFonts w:ascii="Times New Roman" w:hAnsi="Times New Roman"/>
          <w:szCs w:val="24"/>
          <w:lang w:val="es-ES"/>
        </w:rPr>
      </w:pPr>
    </w:p>
    <w:p w:rsidR="008F116B" w:rsidRPr="00FD774A" w:rsidRDefault="008F116B" w:rsidP="00FD774A">
      <w:pPr>
        <w:widowControl/>
        <w:tabs>
          <w:tab w:val="left" w:pos="-1440"/>
        </w:tabs>
        <w:jc w:val="both"/>
        <w:rPr>
          <w:rFonts w:ascii="Times New Roman" w:hAnsi="Times New Roman"/>
          <w:szCs w:val="24"/>
          <w:lang w:val="es-ES"/>
        </w:rPr>
      </w:pPr>
      <w:r w:rsidRPr="00FD774A">
        <w:rPr>
          <w:rFonts w:ascii="Times New Roman" w:hAnsi="Times New Roman"/>
          <w:b/>
          <w:szCs w:val="24"/>
          <w:lang w:val="es-ES"/>
        </w:rPr>
        <w:t>I.</w:t>
      </w:r>
      <w:r w:rsidRPr="00FD774A">
        <w:rPr>
          <w:rFonts w:ascii="Times New Roman" w:hAnsi="Times New Roman"/>
          <w:b/>
          <w:szCs w:val="24"/>
          <w:lang w:val="es-ES"/>
        </w:rPr>
        <w:tab/>
      </w:r>
      <w:r w:rsidRPr="00FD774A">
        <w:rPr>
          <w:rFonts w:ascii="Times New Roman" w:hAnsi="Times New Roman"/>
          <w:b/>
          <w:szCs w:val="24"/>
          <w:u w:val="single"/>
          <w:lang w:val="es-ES"/>
        </w:rPr>
        <w:t>Objetivo</w:t>
      </w:r>
    </w:p>
    <w:p w:rsidR="008F116B" w:rsidRPr="00FD774A" w:rsidRDefault="008F116B" w:rsidP="00FD774A">
      <w:pPr>
        <w:widowControl/>
        <w:jc w:val="both"/>
        <w:rPr>
          <w:rFonts w:ascii="Times New Roman" w:hAnsi="Times New Roman"/>
          <w:szCs w:val="24"/>
          <w:lang w:val="es-ES"/>
        </w:rPr>
      </w:pPr>
    </w:p>
    <w:p w:rsidR="00246909" w:rsidRPr="00246909" w:rsidRDefault="006336D8" w:rsidP="00FD774A">
      <w:pPr>
        <w:widowControl/>
        <w:numPr>
          <w:ilvl w:val="1"/>
          <w:numId w:val="5"/>
        </w:numPr>
        <w:tabs>
          <w:tab w:val="clear" w:pos="360"/>
          <w:tab w:val="num" w:pos="720"/>
        </w:tabs>
        <w:ind w:left="720" w:hanging="720"/>
        <w:jc w:val="both"/>
        <w:rPr>
          <w:rFonts w:ascii="Times New Roman" w:hAnsi="Times New Roman"/>
          <w:szCs w:val="24"/>
          <w:lang w:val="es-ES"/>
        </w:rPr>
      </w:pPr>
      <w:r w:rsidRPr="00922D1B">
        <w:rPr>
          <w:rFonts w:ascii="Times New Roman" w:hAnsi="Times New Roman"/>
          <w:szCs w:val="24"/>
          <w:lang w:val="es-ES_tradnl"/>
        </w:rPr>
        <w:t xml:space="preserve">El objetivo general de este </w:t>
      </w:r>
      <w:r w:rsidR="00C2137F">
        <w:rPr>
          <w:rFonts w:ascii="Times New Roman" w:hAnsi="Times New Roman"/>
          <w:szCs w:val="24"/>
          <w:lang w:val="es-ES_tradnl"/>
        </w:rPr>
        <w:t>Segundo P</w:t>
      </w:r>
      <w:r w:rsidRPr="00922D1B">
        <w:rPr>
          <w:rFonts w:ascii="Times New Roman" w:hAnsi="Times New Roman"/>
          <w:szCs w:val="24"/>
          <w:lang w:val="es-ES_tradnl"/>
        </w:rPr>
        <w:t xml:space="preserve">rograma es: </w:t>
      </w:r>
      <w:r w:rsidR="00224B9A">
        <w:rPr>
          <w:rFonts w:ascii="Times New Roman" w:hAnsi="Times New Roman"/>
          <w:szCs w:val="24"/>
          <w:lang w:val="es-ES_tradnl"/>
        </w:rPr>
        <w:t>(</w:t>
      </w:r>
      <w:r w:rsidRPr="00922D1B">
        <w:rPr>
          <w:rFonts w:ascii="Times New Roman" w:hAnsi="Times New Roman"/>
          <w:szCs w:val="24"/>
          <w:lang w:val="es-ES_tradnl"/>
        </w:rPr>
        <w:t xml:space="preserve">i) contribuir al esfuerzo de México para incrementar la participación de las Energías Renovables (ER) en la generación eléctrica y así reducir las emisiones de Gases de Efecto Invernadero (GEI); y </w:t>
      </w:r>
      <w:r w:rsidR="00224B9A">
        <w:rPr>
          <w:rFonts w:ascii="Times New Roman" w:hAnsi="Times New Roman"/>
          <w:szCs w:val="24"/>
          <w:lang w:val="es-ES_tradnl"/>
        </w:rPr>
        <w:t>(</w:t>
      </w:r>
      <w:r w:rsidRPr="00922D1B">
        <w:rPr>
          <w:rFonts w:ascii="Times New Roman" w:hAnsi="Times New Roman"/>
          <w:szCs w:val="24"/>
          <w:lang w:val="es-ES_tradnl"/>
        </w:rPr>
        <w:t>ii) apoyar el fortalecimiento de la competitividad en el segmento de las Pequeñas y Medianas Empresas (PYME) que participan en la cadena de valor de la industria petrolera nacional, mediante la canalización de financiamiento de mediano y largo plazo</w:t>
      </w:r>
      <w:r w:rsidR="00246909">
        <w:rPr>
          <w:rFonts w:ascii="Times New Roman" w:hAnsi="Times New Roman"/>
          <w:szCs w:val="24"/>
          <w:lang w:val="es-ES_tradnl"/>
        </w:rPr>
        <w:t>.</w:t>
      </w:r>
    </w:p>
    <w:p w:rsidR="0041197B" w:rsidRPr="0041197B" w:rsidRDefault="0041197B" w:rsidP="0041197B">
      <w:pPr>
        <w:widowControl/>
        <w:ind w:left="720"/>
        <w:jc w:val="both"/>
        <w:rPr>
          <w:rFonts w:ascii="Times New Roman" w:hAnsi="Times New Roman"/>
          <w:szCs w:val="24"/>
          <w:lang w:val="es-ES"/>
        </w:rPr>
      </w:pPr>
    </w:p>
    <w:p w:rsidR="006336D8" w:rsidRPr="00922D1B" w:rsidRDefault="00246909" w:rsidP="00FD774A">
      <w:pPr>
        <w:widowControl/>
        <w:numPr>
          <w:ilvl w:val="1"/>
          <w:numId w:val="5"/>
        </w:numPr>
        <w:tabs>
          <w:tab w:val="clear" w:pos="360"/>
          <w:tab w:val="num" w:pos="720"/>
        </w:tabs>
        <w:ind w:left="720" w:hanging="720"/>
        <w:jc w:val="both"/>
        <w:rPr>
          <w:rFonts w:ascii="Times New Roman" w:hAnsi="Times New Roman"/>
          <w:szCs w:val="24"/>
          <w:lang w:val="es-ES"/>
        </w:rPr>
      </w:pPr>
      <w:r>
        <w:rPr>
          <w:rFonts w:ascii="Times New Roman" w:hAnsi="Times New Roman"/>
          <w:szCs w:val="24"/>
          <w:lang w:val="es-ES_tradnl"/>
        </w:rPr>
        <w:t xml:space="preserve">El objetivo anterior es </w:t>
      </w:r>
      <w:r w:rsidR="005B56C9" w:rsidRPr="00922D1B">
        <w:rPr>
          <w:rFonts w:ascii="Times New Roman" w:hAnsi="Times New Roman"/>
          <w:szCs w:val="24"/>
          <w:lang w:val="es-ES"/>
        </w:rPr>
        <w:t>consistente</w:t>
      </w:r>
      <w:r>
        <w:rPr>
          <w:rFonts w:ascii="Times New Roman" w:hAnsi="Times New Roman"/>
          <w:szCs w:val="24"/>
          <w:lang w:val="es-ES"/>
        </w:rPr>
        <w:t xml:space="preserve"> con la estrategia de NAFIN de promover el acceso de las </w:t>
      </w:r>
      <w:r w:rsidR="00AB1E8B">
        <w:rPr>
          <w:rFonts w:ascii="Times New Roman" w:hAnsi="Times New Roman"/>
          <w:szCs w:val="24"/>
          <w:lang w:val="es-ES"/>
        </w:rPr>
        <w:t>PYME</w:t>
      </w:r>
      <w:r>
        <w:rPr>
          <w:rFonts w:ascii="Times New Roman" w:hAnsi="Times New Roman"/>
          <w:szCs w:val="24"/>
          <w:lang w:val="es-ES"/>
        </w:rPr>
        <w:t xml:space="preserve"> a los servicios financieros y en la estructuración y financiamiento de proyectos sustentables y estratégicos para el país, en</w:t>
      </w:r>
      <w:r w:rsidR="005B56C9" w:rsidRPr="00922D1B">
        <w:rPr>
          <w:rFonts w:ascii="Times New Roman" w:hAnsi="Times New Roman"/>
          <w:szCs w:val="24"/>
          <w:lang w:val="es-ES"/>
        </w:rPr>
        <w:t xml:space="preserve"> el marco legal vigente en los Estados Unidos Mexicanos para la contratación de créditos externos, en la Ley General de Deuda Pública, el </w:t>
      </w:r>
      <w:r w:rsidR="005B56C9" w:rsidRPr="00922D1B">
        <w:rPr>
          <w:rFonts w:ascii="Times New Roman" w:hAnsi="Times New Roman"/>
          <w:color w:val="333333"/>
          <w:lang w:val="es-ES"/>
        </w:rPr>
        <w:t>Plan Nacional de Desarrollo, la Estrategia Nacional de Cambio Climático</w:t>
      </w:r>
      <w:r w:rsidR="005B56C9" w:rsidRPr="00922D1B">
        <w:rPr>
          <w:rFonts w:ascii="Times New Roman" w:hAnsi="Times New Roman"/>
          <w:szCs w:val="24"/>
          <w:lang w:val="es-ES"/>
        </w:rPr>
        <w:t>.</w:t>
      </w:r>
    </w:p>
    <w:p w:rsidR="006336D8" w:rsidRPr="00FD774A" w:rsidRDefault="006336D8" w:rsidP="00FD774A">
      <w:pPr>
        <w:widowControl/>
        <w:ind w:left="720"/>
        <w:jc w:val="both"/>
        <w:rPr>
          <w:rFonts w:ascii="Times New Roman" w:hAnsi="Times New Roman"/>
          <w:szCs w:val="24"/>
          <w:lang w:val="es-ES"/>
        </w:rPr>
      </w:pPr>
    </w:p>
    <w:p w:rsidR="005D46DC" w:rsidRPr="00FD774A" w:rsidRDefault="00C2137F" w:rsidP="00FD774A">
      <w:pPr>
        <w:widowControl/>
        <w:numPr>
          <w:ilvl w:val="1"/>
          <w:numId w:val="5"/>
        </w:numPr>
        <w:tabs>
          <w:tab w:val="clear" w:pos="360"/>
          <w:tab w:val="num" w:pos="720"/>
        </w:tabs>
        <w:ind w:left="720" w:hanging="720"/>
        <w:jc w:val="both"/>
        <w:rPr>
          <w:rFonts w:ascii="Times New Roman" w:hAnsi="Times New Roman"/>
          <w:szCs w:val="24"/>
          <w:lang w:val="es-ES"/>
        </w:rPr>
      </w:pPr>
      <w:r>
        <w:rPr>
          <w:rFonts w:ascii="Times New Roman" w:hAnsi="Times New Roman"/>
          <w:szCs w:val="24"/>
          <w:lang w:val="es-ES_tradnl"/>
        </w:rPr>
        <w:t>Los objetivos específicos del P</w:t>
      </w:r>
      <w:r w:rsidR="006336D8" w:rsidRPr="00FD774A">
        <w:rPr>
          <w:rFonts w:ascii="Times New Roman" w:hAnsi="Times New Roman"/>
          <w:szCs w:val="24"/>
          <w:lang w:val="es-ES_tradnl"/>
        </w:rPr>
        <w:t xml:space="preserve">rograma son: </w:t>
      </w:r>
      <w:r w:rsidR="0081116A">
        <w:rPr>
          <w:rFonts w:ascii="Times New Roman" w:hAnsi="Times New Roman"/>
          <w:szCs w:val="24"/>
          <w:lang w:val="es-ES_tradnl"/>
        </w:rPr>
        <w:t>(</w:t>
      </w:r>
      <w:r w:rsidR="006336D8" w:rsidRPr="00FD774A">
        <w:rPr>
          <w:rFonts w:ascii="Times New Roman" w:hAnsi="Times New Roman"/>
          <w:szCs w:val="24"/>
          <w:lang w:val="es-ES_tradnl"/>
        </w:rPr>
        <w:t>i) incrementar la inversión en proyectos de generación a partir de ER</w:t>
      </w:r>
      <w:r w:rsidR="0081116A">
        <w:rPr>
          <w:rFonts w:ascii="Times New Roman" w:hAnsi="Times New Roman"/>
          <w:szCs w:val="24"/>
          <w:lang w:val="es-ES_tradnl"/>
        </w:rPr>
        <w:t>;</w:t>
      </w:r>
      <w:r w:rsidR="006336D8" w:rsidRPr="00FD774A">
        <w:rPr>
          <w:rFonts w:ascii="Times New Roman" w:hAnsi="Times New Roman"/>
          <w:szCs w:val="24"/>
          <w:lang w:val="es-ES_tradnl"/>
        </w:rPr>
        <w:t xml:space="preserve"> </w:t>
      </w:r>
      <w:r w:rsidR="0081116A">
        <w:rPr>
          <w:rFonts w:ascii="Times New Roman" w:hAnsi="Times New Roman"/>
          <w:szCs w:val="24"/>
          <w:lang w:val="es-ES_tradnl"/>
        </w:rPr>
        <w:t>(</w:t>
      </w:r>
      <w:r w:rsidR="006336D8" w:rsidRPr="00FD774A">
        <w:rPr>
          <w:rFonts w:ascii="Times New Roman" w:hAnsi="Times New Roman"/>
          <w:szCs w:val="24"/>
          <w:lang w:val="es-ES_tradnl"/>
        </w:rPr>
        <w:t xml:space="preserve">ii) </w:t>
      </w:r>
      <w:r w:rsidR="00246909">
        <w:rPr>
          <w:rFonts w:ascii="Times New Roman" w:hAnsi="Times New Roman"/>
          <w:szCs w:val="24"/>
          <w:lang w:val="es-ES_tradnl"/>
        </w:rPr>
        <w:t>promover</w:t>
      </w:r>
      <w:r w:rsidR="00960DB1">
        <w:rPr>
          <w:rFonts w:ascii="Times New Roman" w:hAnsi="Times New Roman"/>
          <w:szCs w:val="24"/>
          <w:lang w:val="es-ES_tradnl"/>
        </w:rPr>
        <w:t xml:space="preserve"> </w:t>
      </w:r>
      <w:r w:rsidR="00246909">
        <w:rPr>
          <w:rFonts w:ascii="Times New Roman" w:hAnsi="Times New Roman"/>
          <w:szCs w:val="24"/>
          <w:lang w:val="es-ES_tradnl"/>
        </w:rPr>
        <w:t xml:space="preserve">una mayor participación del sistema financiero mexicano en el financiamiento de este tipo de proyectos de </w:t>
      </w:r>
      <w:r w:rsidR="00AB1E8B">
        <w:rPr>
          <w:rFonts w:ascii="Times New Roman" w:hAnsi="Times New Roman"/>
          <w:szCs w:val="24"/>
          <w:lang w:val="es-ES_tradnl"/>
        </w:rPr>
        <w:t>ER</w:t>
      </w:r>
      <w:r w:rsidR="006A448F">
        <w:rPr>
          <w:rFonts w:ascii="Times New Roman" w:hAnsi="Times New Roman"/>
          <w:szCs w:val="24"/>
          <w:lang w:val="es-ES_tradnl"/>
        </w:rPr>
        <w:t xml:space="preserve">, </w:t>
      </w:r>
      <w:r w:rsidR="006A448F" w:rsidRPr="00FD774A">
        <w:rPr>
          <w:rFonts w:ascii="Times New Roman" w:hAnsi="Times New Roman"/>
          <w:szCs w:val="24"/>
          <w:lang w:val="es-ES_tradnl"/>
        </w:rPr>
        <w:t>contribuyendo a desarrollar el mercado de financiamiento</w:t>
      </w:r>
      <w:r w:rsidR="006A448F">
        <w:rPr>
          <w:rFonts w:ascii="Times New Roman" w:hAnsi="Times New Roman"/>
          <w:szCs w:val="24"/>
          <w:lang w:val="es-ES_tradnl"/>
        </w:rPr>
        <w:t xml:space="preserve"> comercial al sector de ER</w:t>
      </w:r>
      <w:r w:rsidR="006336D8" w:rsidRPr="00FD774A">
        <w:rPr>
          <w:rFonts w:ascii="Times New Roman" w:hAnsi="Times New Roman"/>
          <w:szCs w:val="24"/>
          <w:lang w:val="es-ES_tradnl"/>
        </w:rPr>
        <w:t xml:space="preserve">; </w:t>
      </w:r>
      <w:r w:rsidR="006A448F">
        <w:rPr>
          <w:rFonts w:ascii="Times New Roman" w:hAnsi="Times New Roman"/>
          <w:szCs w:val="24"/>
          <w:lang w:val="es-ES_tradnl"/>
        </w:rPr>
        <w:t xml:space="preserve">y </w:t>
      </w:r>
      <w:r w:rsidR="0081116A">
        <w:rPr>
          <w:rFonts w:ascii="Times New Roman" w:hAnsi="Times New Roman"/>
          <w:szCs w:val="24"/>
          <w:lang w:val="es-ES_tradnl"/>
        </w:rPr>
        <w:t>(</w:t>
      </w:r>
      <w:r w:rsidR="006336D8" w:rsidRPr="00FD774A">
        <w:rPr>
          <w:rFonts w:ascii="Times New Roman" w:hAnsi="Times New Roman"/>
          <w:szCs w:val="24"/>
          <w:lang w:val="es-ES_tradnl"/>
        </w:rPr>
        <w:t xml:space="preserve">iii) apoyar el </w:t>
      </w:r>
      <w:r w:rsidR="008B7F15">
        <w:rPr>
          <w:rFonts w:ascii="Times New Roman" w:hAnsi="Times New Roman"/>
          <w:szCs w:val="24"/>
          <w:lang w:val="es-ES_tradnl"/>
        </w:rPr>
        <w:t xml:space="preserve">desarrollo </w:t>
      </w:r>
      <w:r w:rsidR="006336D8" w:rsidRPr="00FD774A">
        <w:rPr>
          <w:rFonts w:ascii="Times New Roman" w:hAnsi="Times New Roman"/>
          <w:szCs w:val="24"/>
          <w:lang w:val="es-ES_tradnl"/>
        </w:rPr>
        <w:t xml:space="preserve">de las PYME </w:t>
      </w:r>
      <w:r w:rsidR="008B7F15">
        <w:rPr>
          <w:rFonts w:ascii="Times New Roman" w:hAnsi="Times New Roman"/>
          <w:szCs w:val="24"/>
          <w:lang w:val="es-ES_tradnl"/>
        </w:rPr>
        <w:t xml:space="preserve">proveedoras </w:t>
      </w:r>
      <w:r w:rsidR="006336D8" w:rsidRPr="00FD774A">
        <w:rPr>
          <w:rFonts w:ascii="Times New Roman" w:hAnsi="Times New Roman"/>
          <w:szCs w:val="24"/>
          <w:lang w:val="es-ES_tradnl"/>
        </w:rPr>
        <w:t>y contratistas que partic</w:t>
      </w:r>
      <w:r w:rsidR="006A448F">
        <w:rPr>
          <w:rFonts w:ascii="Times New Roman" w:hAnsi="Times New Roman"/>
          <w:szCs w:val="24"/>
          <w:lang w:val="es-ES_tradnl"/>
        </w:rPr>
        <w:t>ipen en las cadenas de valor de</w:t>
      </w:r>
      <w:r w:rsidR="006336D8" w:rsidRPr="00FD774A">
        <w:rPr>
          <w:rFonts w:ascii="Times New Roman" w:hAnsi="Times New Roman"/>
          <w:szCs w:val="24"/>
          <w:lang w:val="es-ES_tradnl"/>
        </w:rPr>
        <w:t xml:space="preserve"> </w:t>
      </w:r>
      <w:r w:rsidR="006A448F" w:rsidRPr="00FD774A">
        <w:rPr>
          <w:rFonts w:ascii="Times New Roman" w:hAnsi="Times New Roman"/>
          <w:szCs w:val="24"/>
          <w:lang w:val="es-ES_tradnl"/>
        </w:rPr>
        <w:t>la industria petrolera nacional</w:t>
      </w:r>
      <w:r w:rsidR="006336D8" w:rsidRPr="00FD774A">
        <w:rPr>
          <w:rFonts w:ascii="Times New Roman" w:hAnsi="Times New Roman"/>
          <w:szCs w:val="24"/>
          <w:lang w:val="es-ES_tradnl"/>
        </w:rPr>
        <w:t>, contribuyendo a desarrollar el mercado de financiamiento a las PYME mexicanas</w:t>
      </w:r>
      <w:r w:rsidR="007127D2" w:rsidRPr="00FD774A">
        <w:rPr>
          <w:rFonts w:ascii="Times New Roman" w:hAnsi="Times New Roman"/>
          <w:szCs w:val="24"/>
          <w:lang w:val="es-ES_tradnl"/>
        </w:rPr>
        <w:t>.</w:t>
      </w:r>
    </w:p>
    <w:p w:rsidR="00667A55" w:rsidRPr="00FD774A" w:rsidRDefault="00667A55" w:rsidP="00FD774A">
      <w:pPr>
        <w:widowControl/>
        <w:jc w:val="both"/>
        <w:rPr>
          <w:rFonts w:ascii="Times New Roman" w:hAnsi="Times New Roman"/>
          <w:szCs w:val="24"/>
          <w:lang w:val="es-ES"/>
        </w:rPr>
      </w:pPr>
    </w:p>
    <w:p w:rsidR="008F116B" w:rsidRPr="00FD774A" w:rsidRDefault="008F116B" w:rsidP="00FD774A">
      <w:pPr>
        <w:widowControl/>
        <w:tabs>
          <w:tab w:val="left" w:pos="-1440"/>
        </w:tabs>
        <w:jc w:val="both"/>
        <w:rPr>
          <w:rFonts w:ascii="Times New Roman" w:hAnsi="Times New Roman"/>
          <w:szCs w:val="24"/>
          <w:lang w:val="es-ES"/>
        </w:rPr>
      </w:pPr>
      <w:r w:rsidRPr="00FD774A">
        <w:rPr>
          <w:rFonts w:ascii="Times New Roman" w:hAnsi="Times New Roman"/>
          <w:b/>
          <w:szCs w:val="24"/>
          <w:lang w:val="es-ES"/>
        </w:rPr>
        <w:t>II.</w:t>
      </w:r>
      <w:r w:rsidRPr="00FD774A">
        <w:rPr>
          <w:rFonts w:ascii="Times New Roman" w:hAnsi="Times New Roman"/>
          <w:b/>
          <w:szCs w:val="24"/>
          <w:lang w:val="es-ES"/>
        </w:rPr>
        <w:tab/>
      </w:r>
      <w:r w:rsidRPr="00FD774A">
        <w:rPr>
          <w:rFonts w:ascii="Times New Roman" w:hAnsi="Times New Roman"/>
          <w:b/>
          <w:szCs w:val="24"/>
          <w:u w:val="single"/>
          <w:lang w:val="es-ES"/>
        </w:rPr>
        <w:t>Descripción</w:t>
      </w:r>
    </w:p>
    <w:p w:rsidR="008F116B" w:rsidRPr="00FD774A" w:rsidRDefault="008F116B" w:rsidP="00FD774A">
      <w:pPr>
        <w:widowControl/>
        <w:jc w:val="both"/>
        <w:rPr>
          <w:rFonts w:ascii="Times New Roman" w:hAnsi="Times New Roman"/>
          <w:szCs w:val="24"/>
          <w:lang w:val="es-ES"/>
        </w:rPr>
      </w:pPr>
    </w:p>
    <w:p w:rsidR="008F116B" w:rsidRPr="00FD774A" w:rsidRDefault="00667A55" w:rsidP="00FD774A">
      <w:pPr>
        <w:widowControl/>
        <w:numPr>
          <w:ilvl w:val="1"/>
          <w:numId w:val="4"/>
        </w:numPr>
        <w:jc w:val="both"/>
        <w:rPr>
          <w:rFonts w:ascii="Times New Roman" w:hAnsi="Times New Roman"/>
          <w:szCs w:val="24"/>
          <w:lang w:val="es-ES"/>
        </w:rPr>
      </w:pPr>
      <w:r w:rsidRPr="00FD774A">
        <w:rPr>
          <w:rFonts w:ascii="Times New Roman" w:hAnsi="Times New Roman"/>
          <w:szCs w:val="24"/>
          <w:lang w:val="es-ES"/>
        </w:rPr>
        <w:t xml:space="preserve">Para el logro de los objetivos anteriores, el Programa </w:t>
      </w:r>
      <w:r w:rsidR="00B33B77" w:rsidRPr="00FD774A">
        <w:rPr>
          <w:rFonts w:ascii="Times New Roman" w:hAnsi="Times New Roman"/>
          <w:szCs w:val="24"/>
          <w:lang w:val="es-ES"/>
        </w:rPr>
        <w:t>comprende los siguientes componentes:</w:t>
      </w:r>
    </w:p>
    <w:p w:rsidR="00053213" w:rsidRPr="00FD774A" w:rsidRDefault="00053213" w:rsidP="00FD774A">
      <w:pPr>
        <w:widowControl/>
        <w:ind w:left="720"/>
        <w:jc w:val="both"/>
        <w:rPr>
          <w:rFonts w:ascii="Times New Roman" w:hAnsi="Times New Roman"/>
          <w:szCs w:val="24"/>
          <w:lang w:val="es-ES"/>
        </w:rPr>
      </w:pPr>
    </w:p>
    <w:p w:rsidR="00B33B77" w:rsidRPr="00FD774A" w:rsidRDefault="007127D2" w:rsidP="00FD774A">
      <w:pPr>
        <w:widowControl/>
        <w:numPr>
          <w:ilvl w:val="1"/>
          <w:numId w:val="4"/>
        </w:numPr>
        <w:jc w:val="both"/>
        <w:rPr>
          <w:rFonts w:ascii="Times New Roman" w:hAnsi="Times New Roman"/>
          <w:szCs w:val="24"/>
          <w:u w:val="single"/>
          <w:lang w:val="es-ES"/>
        </w:rPr>
      </w:pPr>
      <w:r w:rsidRPr="00FD774A">
        <w:rPr>
          <w:rFonts w:ascii="Times New Roman" w:hAnsi="Times New Roman"/>
          <w:szCs w:val="24"/>
          <w:u w:val="single"/>
          <w:lang w:val="es-ES_tradnl"/>
        </w:rPr>
        <w:t>Componente I</w:t>
      </w:r>
      <w:r w:rsidRPr="00FD774A">
        <w:rPr>
          <w:rFonts w:ascii="Times New Roman" w:hAnsi="Times New Roman"/>
          <w:szCs w:val="24"/>
          <w:lang w:val="es-ES_tradnl"/>
        </w:rPr>
        <w:t>. Línea de crédito para financiar operaciones elegibles del Programa de Financiamiento de Energías Renovables (PFER).</w:t>
      </w:r>
      <w:r w:rsidR="00B33B77" w:rsidRPr="00FD774A">
        <w:rPr>
          <w:rFonts w:ascii="Times New Roman" w:hAnsi="Times New Roman"/>
          <w:szCs w:val="24"/>
          <w:u w:val="single"/>
          <w:lang w:val="es-ES"/>
        </w:rPr>
        <w:t xml:space="preserve"> </w:t>
      </w:r>
    </w:p>
    <w:p w:rsidR="00E86F1F" w:rsidRPr="00FD774A" w:rsidRDefault="00E86F1F" w:rsidP="00FD774A">
      <w:pPr>
        <w:widowControl/>
        <w:ind w:left="720"/>
        <w:jc w:val="both"/>
        <w:rPr>
          <w:rFonts w:ascii="Times New Roman" w:hAnsi="Times New Roman"/>
          <w:szCs w:val="24"/>
          <w:u w:val="single"/>
          <w:lang w:val="es-ES"/>
        </w:rPr>
      </w:pPr>
    </w:p>
    <w:p w:rsidR="00FD774A" w:rsidRPr="00FD774A" w:rsidRDefault="00B33B77" w:rsidP="00FD774A">
      <w:pPr>
        <w:widowControl/>
        <w:numPr>
          <w:ilvl w:val="1"/>
          <w:numId w:val="4"/>
        </w:numPr>
        <w:jc w:val="both"/>
        <w:rPr>
          <w:rFonts w:ascii="Times New Roman" w:hAnsi="Times New Roman"/>
          <w:szCs w:val="24"/>
          <w:lang w:val="es-ES"/>
        </w:rPr>
      </w:pPr>
      <w:r w:rsidRPr="00FD774A">
        <w:rPr>
          <w:rFonts w:ascii="Times New Roman" w:hAnsi="Times New Roman"/>
          <w:szCs w:val="24"/>
          <w:lang w:val="es-ES"/>
        </w:rPr>
        <w:t>Bajo este componente</w:t>
      </w:r>
      <w:r w:rsidR="007127D2" w:rsidRPr="00FD774A">
        <w:rPr>
          <w:rFonts w:ascii="Times New Roman" w:hAnsi="Times New Roman"/>
          <w:szCs w:val="24"/>
          <w:lang w:val="es-ES"/>
        </w:rPr>
        <w:t>,</w:t>
      </w:r>
      <w:r w:rsidRPr="00FD774A">
        <w:rPr>
          <w:rFonts w:ascii="Times New Roman" w:hAnsi="Times New Roman"/>
          <w:szCs w:val="24"/>
          <w:lang w:val="es-ES"/>
        </w:rPr>
        <w:t xml:space="preserve"> </w:t>
      </w:r>
      <w:r w:rsidR="007127D2" w:rsidRPr="00FD774A">
        <w:rPr>
          <w:rFonts w:ascii="Times New Roman" w:hAnsi="Times New Roman"/>
          <w:szCs w:val="24"/>
          <w:lang w:val="es-ES_tradnl"/>
        </w:rPr>
        <w:t xml:space="preserve">NAFIN, actuando en primer o segundo piso, canalizará recursos del Financiamiento </w:t>
      </w:r>
      <w:r w:rsidR="00053213" w:rsidRPr="00FD774A">
        <w:rPr>
          <w:rFonts w:ascii="Times New Roman" w:hAnsi="Times New Roman"/>
          <w:szCs w:val="24"/>
          <w:lang w:val="es-ES_tradnl"/>
        </w:rPr>
        <w:t xml:space="preserve">para apalancar los recursos del PFER </w:t>
      </w:r>
      <w:r w:rsidR="007127D2" w:rsidRPr="00FD774A">
        <w:rPr>
          <w:rFonts w:ascii="Times New Roman" w:hAnsi="Times New Roman"/>
          <w:szCs w:val="24"/>
          <w:lang w:val="es-ES_tradnl"/>
        </w:rPr>
        <w:t>en forma de</w:t>
      </w:r>
      <w:r w:rsidR="00230AAC" w:rsidRPr="00FD774A">
        <w:rPr>
          <w:rFonts w:ascii="Times New Roman" w:hAnsi="Times New Roman"/>
          <w:szCs w:val="24"/>
          <w:lang w:val="es-ES_tradnl"/>
        </w:rPr>
        <w:t xml:space="preserve">: </w:t>
      </w:r>
    </w:p>
    <w:p w:rsidR="00FD774A" w:rsidRDefault="00FD774A" w:rsidP="00FD774A">
      <w:pPr>
        <w:pStyle w:val="ListParagraph"/>
        <w:rPr>
          <w:rFonts w:ascii="Times New Roman" w:hAnsi="Times New Roman"/>
          <w:szCs w:val="24"/>
          <w:lang w:val="es-ES_tradnl"/>
        </w:rPr>
      </w:pPr>
    </w:p>
    <w:p w:rsidR="00BF069E" w:rsidRDefault="0041197B">
      <w:pPr>
        <w:pStyle w:val="ListParagraph"/>
        <w:widowControl/>
        <w:numPr>
          <w:ilvl w:val="0"/>
          <w:numId w:val="7"/>
        </w:numPr>
        <w:tabs>
          <w:tab w:val="left" w:pos="2160"/>
        </w:tabs>
        <w:ind w:left="1440" w:firstLine="0"/>
        <w:jc w:val="both"/>
        <w:rPr>
          <w:rFonts w:ascii="Times New Roman" w:hAnsi="Times New Roman"/>
          <w:szCs w:val="24"/>
          <w:lang w:val="es-ES_tradnl"/>
        </w:rPr>
      </w:pPr>
      <w:r w:rsidRPr="0041197B">
        <w:rPr>
          <w:rFonts w:ascii="Times New Roman" w:hAnsi="Times New Roman"/>
          <w:szCs w:val="24"/>
          <w:lang w:val="es-ES_tradnl"/>
        </w:rPr>
        <w:lastRenderedPageBreak/>
        <w:t>préstamos preferentes o subordinados para financiar la construcción y/u operación de proyectos de inversión en energía renovable, en forma directa o a través de otras instituciones financieras; y/o</w:t>
      </w:r>
    </w:p>
    <w:p w:rsidR="00FD774A" w:rsidRDefault="00FD774A" w:rsidP="00FD774A">
      <w:pPr>
        <w:widowControl/>
        <w:ind w:left="720"/>
        <w:jc w:val="both"/>
        <w:rPr>
          <w:rFonts w:ascii="Times New Roman" w:hAnsi="Times New Roman"/>
          <w:szCs w:val="24"/>
          <w:lang w:val="es-ES_tradnl"/>
        </w:rPr>
      </w:pPr>
    </w:p>
    <w:p w:rsidR="00BF069E" w:rsidRDefault="00053213" w:rsidP="00960DB1">
      <w:pPr>
        <w:pStyle w:val="ListParagraph"/>
        <w:widowControl/>
        <w:numPr>
          <w:ilvl w:val="0"/>
          <w:numId w:val="7"/>
        </w:numPr>
        <w:tabs>
          <w:tab w:val="left" w:pos="2160"/>
        </w:tabs>
        <w:ind w:left="1440" w:firstLine="0"/>
        <w:jc w:val="both"/>
        <w:rPr>
          <w:rFonts w:ascii="Times New Roman" w:hAnsi="Times New Roman"/>
          <w:szCs w:val="24"/>
          <w:lang w:val="es-ES_tradnl"/>
        </w:rPr>
      </w:pPr>
      <w:r w:rsidRPr="00FD774A">
        <w:rPr>
          <w:rFonts w:ascii="Times New Roman" w:hAnsi="Times New Roman"/>
          <w:szCs w:val="24"/>
          <w:lang w:val="es-ES_tradnl"/>
        </w:rPr>
        <w:t xml:space="preserve">líneas de crédito contingente para cubrir el servicio de la deuda preferente, derivado de una contingencia que determine la reducción de los flujos esperados de ingresos de los proyectos de inversión en energía renovable, originada por alguna de las siguientes causas: </w:t>
      </w:r>
      <w:r w:rsidR="002B5029">
        <w:rPr>
          <w:rFonts w:ascii="Times New Roman" w:hAnsi="Times New Roman"/>
          <w:szCs w:val="24"/>
          <w:lang w:val="es-ES_tradnl"/>
        </w:rPr>
        <w:t xml:space="preserve"> (</w:t>
      </w:r>
      <w:r w:rsidRPr="00FD774A">
        <w:rPr>
          <w:rFonts w:ascii="Times New Roman" w:hAnsi="Times New Roman"/>
          <w:szCs w:val="24"/>
          <w:lang w:val="es-ES_tradnl"/>
        </w:rPr>
        <w:t>i) defecto de compras o incumplimiento por parte del comprador final de la energía (</w:t>
      </w:r>
      <w:r w:rsidRPr="00FD774A">
        <w:rPr>
          <w:rFonts w:ascii="Times New Roman" w:hAnsi="Times New Roman"/>
          <w:i/>
          <w:szCs w:val="24"/>
          <w:lang w:val="es-ES_tradnl"/>
        </w:rPr>
        <w:t>off-taker</w:t>
      </w:r>
      <w:r w:rsidRPr="00FD774A">
        <w:rPr>
          <w:rFonts w:ascii="Times New Roman" w:hAnsi="Times New Roman"/>
          <w:szCs w:val="24"/>
          <w:lang w:val="es-ES_tradnl"/>
        </w:rPr>
        <w:t xml:space="preserve">); </w:t>
      </w:r>
      <w:r w:rsidR="002B5029">
        <w:rPr>
          <w:rFonts w:ascii="Times New Roman" w:hAnsi="Times New Roman"/>
          <w:szCs w:val="24"/>
          <w:lang w:val="es-ES_tradnl"/>
        </w:rPr>
        <w:t>(</w:t>
      </w:r>
      <w:r w:rsidRPr="00FD774A">
        <w:rPr>
          <w:rFonts w:ascii="Times New Roman" w:hAnsi="Times New Roman"/>
          <w:szCs w:val="24"/>
          <w:lang w:val="es-ES_tradnl"/>
        </w:rPr>
        <w:t xml:space="preserve">ii) reducción del precio de la energía renovable generada por el Sub Prestatario, al indexarse dicho precio a las tarifas de la Comisión Federal de Energía; y/o </w:t>
      </w:r>
      <w:r w:rsidR="002B5029">
        <w:rPr>
          <w:rFonts w:ascii="Times New Roman" w:hAnsi="Times New Roman"/>
          <w:szCs w:val="24"/>
          <w:lang w:val="es-ES_tradnl"/>
        </w:rPr>
        <w:t>(</w:t>
      </w:r>
      <w:r w:rsidRPr="00FD774A">
        <w:rPr>
          <w:rFonts w:ascii="Times New Roman" w:hAnsi="Times New Roman"/>
          <w:szCs w:val="24"/>
          <w:lang w:val="es-ES_tradnl"/>
        </w:rPr>
        <w:t xml:space="preserve">iii) deficiencia en la generación de energía, en relación con la generación proyectada en el caso base. </w:t>
      </w:r>
    </w:p>
    <w:p w:rsidR="00FD774A" w:rsidRDefault="00FD774A" w:rsidP="00FD774A">
      <w:pPr>
        <w:widowControl/>
        <w:ind w:left="720"/>
        <w:jc w:val="both"/>
        <w:rPr>
          <w:rFonts w:ascii="Times New Roman" w:hAnsi="Times New Roman"/>
          <w:szCs w:val="24"/>
          <w:lang w:val="es-ES_tradnl"/>
        </w:rPr>
      </w:pPr>
    </w:p>
    <w:p w:rsidR="0062393D" w:rsidRPr="00FD774A" w:rsidRDefault="0062393D" w:rsidP="00FD774A">
      <w:pPr>
        <w:widowControl/>
        <w:numPr>
          <w:ilvl w:val="1"/>
          <w:numId w:val="4"/>
        </w:numPr>
        <w:jc w:val="both"/>
        <w:rPr>
          <w:rFonts w:ascii="Times New Roman" w:hAnsi="Times New Roman"/>
          <w:szCs w:val="24"/>
          <w:lang w:val="es-ES"/>
        </w:rPr>
      </w:pPr>
      <w:r w:rsidRPr="00FD774A">
        <w:rPr>
          <w:rFonts w:ascii="Times New Roman" w:hAnsi="Times New Roman"/>
          <w:szCs w:val="24"/>
          <w:lang w:val="es-ES_tradnl"/>
        </w:rPr>
        <w:t xml:space="preserve">Los recursos del Financiamiento </w:t>
      </w:r>
      <w:r w:rsidR="00FD774A">
        <w:rPr>
          <w:rFonts w:ascii="Times New Roman" w:hAnsi="Times New Roman"/>
          <w:szCs w:val="24"/>
          <w:lang w:val="es-ES_tradnl"/>
        </w:rPr>
        <w:t xml:space="preserve">que apoyan este Componente, </w:t>
      </w:r>
      <w:r w:rsidR="00A24C3D">
        <w:rPr>
          <w:rFonts w:ascii="Times New Roman" w:hAnsi="Times New Roman"/>
          <w:szCs w:val="24"/>
          <w:lang w:val="es-ES_tradnl"/>
        </w:rPr>
        <w:t>pod</w:t>
      </w:r>
      <w:r w:rsidRPr="00FD774A">
        <w:rPr>
          <w:rFonts w:ascii="Times New Roman" w:hAnsi="Times New Roman"/>
          <w:szCs w:val="24"/>
          <w:lang w:val="es-ES_tradnl"/>
        </w:rPr>
        <w:t>rán ser acompañados de una cantidad de recursos provenientes del Clean Technology Fund (CTF)</w:t>
      </w:r>
      <w:r w:rsidR="00A24C3D">
        <w:rPr>
          <w:rFonts w:ascii="Times New Roman" w:hAnsi="Times New Roman"/>
          <w:szCs w:val="24"/>
          <w:lang w:val="es-ES_tradnl"/>
        </w:rPr>
        <w:t xml:space="preserve"> conforme se establece en el contrato de préstamo (</w:t>
      </w:r>
      <w:r w:rsidR="0041197B" w:rsidRPr="0041197B">
        <w:rPr>
          <w:rFonts w:ascii="Times New Roman" w:hAnsi="Times New Roman"/>
          <w:i/>
          <w:szCs w:val="24"/>
          <w:lang w:val="es-ES_tradnl"/>
        </w:rPr>
        <w:t>contrato CTF</w:t>
      </w:r>
      <w:r w:rsidR="00A24C3D">
        <w:rPr>
          <w:rFonts w:ascii="Times New Roman" w:hAnsi="Times New Roman"/>
          <w:szCs w:val="24"/>
          <w:lang w:val="es-ES_tradnl"/>
        </w:rPr>
        <w:t>)</w:t>
      </w:r>
      <w:r w:rsidRPr="00FD774A">
        <w:rPr>
          <w:rFonts w:ascii="Times New Roman" w:hAnsi="Times New Roman"/>
          <w:szCs w:val="24"/>
          <w:lang w:val="es-ES_tradnl"/>
        </w:rPr>
        <w:t>, así como una tercera cantidad, adicional, con cargo a recursos propios de NAFIN o recursos obtenidos por NAFIN a través de sus fuentes tradicionales de fondeo.</w:t>
      </w:r>
    </w:p>
    <w:p w:rsidR="0062393D" w:rsidRPr="00FD774A" w:rsidRDefault="0062393D" w:rsidP="00FD774A">
      <w:pPr>
        <w:pStyle w:val="ListParagraph"/>
        <w:jc w:val="both"/>
        <w:rPr>
          <w:rFonts w:ascii="Times New Roman" w:hAnsi="Times New Roman"/>
          <w:szCs w:val="24"/>
          <w:lang w:val="es-ES"/>
        </w:rPr>
      </w:pPr>
    </w:p>
    <w:p w:rsidR="0062393D" w:rsidRPr="00FD774A" w:rsidRDefault="0062393D" w:rsidP="00FD774A">
      <w:pPr>
        <w:widowControl/>
        <w:numPr>
          <w:ilvl w:val="1"/>
          <w:numId w:val="4"/>
        </w:numPr>
        <w:jc w:val="both"/>
        <w:rPr>
          <w:rFonts w:ascii="Times New Roman" w:hAnsi="Times New Roman"/>
          <w:szCs w:val="24"/>
          <w:lang w:val="es-ES"/>
        </w:rPr>
      </w:pPr>
      <w:r w:rsidRPr="00FD774A">
        <w:rPr>
          <w:rFonts w:ascii="Times New Roman" w:hAnsi="Times New Roman"/>
          <w:szCs w:val="24"/>
          <w:lang w:val="es-ES_tradnl"/>
        </w:rPr>
        <w:t xml:space="preserve">El conjunto de los recursos referidos en el párrafo anterior constituirán </w:t>
      </w:r>
      <w:r w:rsidR="0018346F">
        <w:rPr>
          <w:rFonts w:ascii="Times New Roman" w:hAnsi="Times New Roman"/>
          <w:szCs w:val="24"/>
          <w:lang w:val="es-ES_tradnl"/>
        </w:rPr>
        <w:t>e</w:t>
      </w:r>
      <w:r w:rsidRPr="00FD774A">
        <w:rPr>
          <w:rFonts w:ascii="Times New Roman" w:hAnsi="Times New Roman"/>
          <w:szCs w:val="24"/>
          <w:lang w:val="es-ES_tradnl"/>
        </w:rPr>
        <w:t xml:space="preserve">l </w:t>
      </w:r>
      <w:r w:rsidR="0018346F">
        <w:rPr>
          <w:rFonts w:ascii="Times New Roman" w:hAnsi="Times New Roman"/>
          <w:szCs w:val="24"/>
          <w:lang w:val="es-ES_tradnl"/>
        </w:rPr>
        <w:t>P</w:t>
      </w:r>
      <w:r w:rsidRPr="00FD774A">
        <w:rPr>
          <w:rFonts w:ascii="Times New Roman" w:hAnsi="Times New Roman"/>
          <w:szCs w:val="24"/>
          <w:lang w:val="es-ES_tradnl"/>
        </w:rPr>
        <w:t>FER y podrán ser complementados por NAFIN con otros recursos que le estuvieren disponibles con los mismos propósitos. El financiamiento de los proyectos de generación de energí</w:t>
      </w:r>
      <w:r w:rsidR="0018346F">
        <w:rPr>
          <w:rFonts w:ascii="Times New Roman" w:hAnsi="Times New Roman"/>
          <w:szCs w:val="24"/>
          <w:lang w:val="es-ES_tradnl"/>
        </w:rPr>
        <w:t>a renovable con recursos de la P</w:t>
      </w:r>
      <w:r w:rsidRPr="00FD774A">
        <w:rPr>
          <w:rFonts w:ascii="Times New Roman" w:hAnsi="Times New Roman"/>
          <w:szCs w:val="24"/>
          <w:lang w:val="es-ES_tradnl"/>
        </w:rPr>
        <w:t>FER se realizará por partes iguales a las fuentes de su aportación, con una tasa de interés que reflejará el promedio de sus costos, incluidos el margen de riesgo y costos de administración.</w:t>
      </w:r>
    </w:p>
    <w:p w:rsidR="00230AAC" w:rsidRPr="00FD774A" w:rsidRDefault="00230AAC" w:rsidP="00FD774A">
      <w:pPr>
        <w:widowControl/>
        <w:ind w:left="720"/>
        <w:jc w:val="both"/>
        <w:rPr>
          <w:rFonts w:ascii="Times New Roman" w:hAnsi="Times New Roman"/>
          <w:szCs w:val="24"/>
          <w:lang w:val="es-ES"/>
        </w:rPr>
      </w:pPr>
    </w:p>
    <w:p w:rsidR="00E86F1F" w:rsidRPr="00FD774A" w:rsidRDefault="007127D2" w:rsidP="00FD774A">
      <w:pPr>
        <w:widowControl/>
        <w:numPr>
          <w:ilvl w:val="1"/>
          <w:numId w:val="4"/>
        </w:numPr>
        <w:jc w:val="both"/>
        <w:rPr>
          <w:rFonts w:ascii="Times New Roman" w:hAnsi="Times New Roman"/>
          <w:szCs w:val="24"/>
          <w:lang w:val="es-ES_tradnl"/>
        </w:rPr>
      </w:pPr>
      <w:r w:rsidRPr="00FD774A">
        <w:rPr>
          <w:rFonts w:ascii="Times New Roman" w:hAnsi="Times New Roman"/>
          <w:szCs w:val="24"/>
          <w:u w:val="single"/>
          <w:lang w:val="es-ES_tradnl"/>
        </w:rPr>
        <w:t>Componente II</w:t>
      </w:r>
      <w:r w:rsidRPr="00FD774A">
        <w:rPr>
          <w:rFonts w:ascii="Times New Roman" w:hAnsi="Times New Roman"/>
          <w:szCs w:val="24"/>
          <w:lang w:val="es-ES_tradnl"/>
        </w:rPr>
        <w:t xml:space="preserve">. Línea de crédito </w:t>
      </w:r>
      <w:r w:rsidR="006433CB" w:rsidRPr="00FD774A">
        <w:rPr>
          <w:rFonts w:ascii="Times New Roman" w:hAnsi="Times New Roman"/>
          <w:szCs w:val="24"/>
          <w:lang w:val="es-ES_tradnl"/>
        </w:rPr>
        <w:t xml:space="preserve">para financiar operaciones elegibles del </w:t>
      </w:r>
      <w:r w:rsidR="006433CB" w:rsidRPr="00FD774A">
        <w:rPr>
          <w:rFonts w:ascii="Times New Roman" w:hAnsi="Times New Roman"/>
          <w:szCs w:val="24"/>
          <w:lang w:val="es-ES"/>
        </w:rPr>
        <w:t xml:space="preserve">Programa para Promover el Desarrollo de las </w:t>
      </w:r>
      <w:r w:rsidR="00D319FD">
        <w:rPr>
          <w:rFonts w:ascii="Times New Roman" w:hAnsi="Times New Roman"/>
          <w:szCs w:val="24"/>
          <w:lang w:val="es-ES"/>
        </w:rPr>
        <w:t>PYME</w:t>
      </w:r>
      <w:r w:rsidR="006433CB" w:rsidRPr="00FD774A">
        <w:rPr>
          <w:rFonts w:ascii="Times New Roman" w:hAnsi="Times New Roman"/>
          <w:szCs w:val="24"/>
          <w:lang w:val="es-ES"/>
        </w:rPr>
        <w:t xml:space="preserve"> Proveedoras y Contratistas para la Industria Petrolera Nacional</w:t>
      </w:r>
      <w:r w:rsidR="006433CB" w:rsidRPr="00FD774A">
        <w:rPr>
          <w:rFonts w:ascii="Times New Roman" w:hAnsi="Times New Roman"/>
          <w:szCs w:val="24"/>
          <w:lang w:val="es-ES_tradnl"/>
        </w:rPr>
        <w:t>.</w:t>
      </w:r>
    </w:p>
    <w:p w:rsidR="006433CB" w:rsidRPr="00FD774A" w:rsidRDefault="006433CB" w:rsidP="00FD774A">
      <w:pPr>
        <w:ind w:left="720"/>
        <w:jc w:val="both"/>
        <w:rPr>
          <w:rFonts w:ascii="Times New Roman" w:hAnsi="Times New Roman"/>
          <w:szCs w:val="24"/>
          <w:u w:val="single"/>
          <w:lang w:val="es-ES"/>
        </w:rPr>
      </w:pPr>
    </w:p>
    <w:p w:rsidR="008F116B" w:rsidRPr="00FD774A" w:rsidRDefault="006433CB" w:rsidP="00FD774A">
      <w:pPr>
        <w:numPr>
          <w:ilvl w:val="1"/>
          <w:numId w:val="4"/>
        </w:numPr>
        <w:jc w:val="both"/>
        <w:rPr>
          <w:rFonts w:ascii="Times New Roman" w:hAnsi="Times New Roman"/>
          <w:szCs w:val="24"/>
          <w:lang w:val="es-ES"/>
        </w:rPr>
      </w:pPr>
      <w:r w:rsidRPr="00FD774A">
        <w:rPr>
          <w:rFonts w:ascii="Times New Roman" w:hAnsi="Times New Roman"/>
          <w:szCs w:val="24"/>
          <w:lang w:val="es-ES_tradnl"/>
        </w:rPr>
        <w:t>Este componente provee fondeo a NAFIN para ofrecer líneas de crédito de mediano</w:t>
      </w:r>
      <w:r w:rsidR="0055458A">
        <w:rPr>
          <w:rFonts w:ascii="Times New Roman" w:hAnsi="Times New Roman"/>
          <w:szCs w:val="24"/>
          <w:lang w:val="es-ES_tradnl"/>
        </w:rPr>
        <w:t xml:space="preserve"> y</w:t>
      </w:r>
      <w:r w:rsidRPr="00FD774A">
        <w:rPr>
          <w:rFonts w:ascii="Times New Roman" w:hAnsi="Times New Roman"/>
          <w:szCs w:val="24"/>
          <w:lang w:val="es-ES_tradnl"/>
        </w:rPr>
        <w:t xml:space="preserve"> largo plazo a intermediarios financieros , para créditos y arrendamientos </w:t>
      </w:r>
      <w:r w:rsidR="00FD774A">
        <w:rPr>
          <w:rFonts w:ascii="Times New Roman" w:hAnsi="Times New Roman"/>
          <w:szCs w:val="24"/>
          <w:lang w:val="es-ES_tradnl"/>
        </w:rPr>
        <w:t xml:space="preserve">financieros </w:t>
      </w:r>
      <w:r w:rsidRPr="00FD774A">
        <w:rPr>
          <w:rFonts w:ascii="Times New Roman" w:hAnsi="Times New Roman"/>
          <w:szCs w:val="24"/>
          <w:lang w:val="es-ES_tradnl"/>
        </w:rPr>
        <w:t xml:space="preserve">orientados a </w:t>
      </w:r>
      <w:r w:rsidR="00D319FD">
        <w:rPr>
          <w:rFonts w:ascii="Times New Roman" w:hAnsi="Times New Roman"/>
          <w:szCs w:val="24"/>
          <w:lang w:val="es-ES_tradnl"/>
        </w:rPr>
        <w:t>PYME</w:t>
      </w:r>
      <w:r w:rsidRPr="00FD774A">
        <w:rPr>
          <w:rFonts w:ascii="Times New Roman" w:hAnsi="Times New Roman"/>
          <w:szCs w:val="24"/>
          <w:lang w:val="es-ES_tradnl"/>
        </w:rPr>
        <w:t xml:space="preserve">s proveedoras y contratistas en la cadena de </w:t>
      </w:r>
      <w:r w:rsidR="00922D1B">
        <w:rPr>
          <w:rFonts w:ascii="Times New Roman" w:hAnsi="Times New Roman"/>
          <w:szCs w:val="24"/>
          <w:lang w:val="es-ES_tradnl"/>
        </w:rPr>
        <w:t>valor agregado de la industria petrolera nacional</w:t>
      </w:r>
      <w:r w:rsidRPr="00FD774A">
        <w:rPr>
          <w:rFonts w:ascii="Times New Roman" w:hAnsi="Times New Roman"/>
          <w:szCs w:val="24"/>
          <w:lang w:val="es-ES_tradnl"/>
        </w:rPr>
        <w:t xml:space="preserve">. </w:t>
      </w:r>
    </w:p>
    <w:p w:rsidR="0062393D" w:rsidRPr="00FD774A" w:rsidRDefault="0062393D" w:rsidP="00FD774A">
      <w:pPr>
        <w:pStyle w:val="ListParagraph"/>
        <w:jc w:val="both"/>
        <w:rPr>
          <w:rFonts w:ascii="Times New Roman" w:hAnsi="Times New Roman"/>
          <w:szCs w:val="24"/>
          <w:lang w:val="es-ES"/>
        </w:rPr>
      </w:pPr>
    </w:p>
    <w:p w:rsidR="00053213" w:rsidRPr="00FD774A" w:rsidRDefault="00053213" w:rsidP="00FD774A">
      <w:pPr>
        <w:numPr>
          <w:ilvl w:val="1"/>
          <w:numId w:val="4"/>
        </w:numPr>
        <w:jc w:val="both"/>
        <w:rPr>
          <w:rFonts w:ascii="Times New Roman" w:hAnsi="Times New Roman"/>
          <w:szCs w:val="24"/>
          <w:lang w:val="es-ES"/>
        </w:rPr>
      </w:pPr>
      <w:r w:rsidRPr="00FD774A">
        <w:rPr>
          <w:rFonts w:ascii="Times New Roman" w:hAnsi="Times New Roman"/>
          <w:szCs w:val="24"/>
          <w:lang w:val="es-ES_tradnl"/>
        </w:rPr>
        <w:t xml:space="preserve">Para recibir financiamiento </w:t>
      </w:r>
      <w:r w:rsidR="005D0EEC">
        <w:rPr>
          <w:rFonts w:ascii="Times New Roman" w:hAnsi="Times New Roman"/>
          <w:szCs w:val="24"/>
          <w:lang w:val="es-ES_tradnl"/>
        </w:rPr>
        <w:t>d</w:t>
      </w:r>
      <w:r w:rsidRPr="00FD774A">
        <w:rPr>
          <w:rFonts w:ascii="Times New Roman" w:hAnsi="Times New Roman"/>
          <w:szCs w:val="24"/>
          <w:lang w:val="es-ES_tradnl"/>
        </w:rPr>
        <w:t xml:space="preserve">e cualquiera de los dos Componentes, los proyectos deberán cumplir una serie de condiciones de elegibilidad que se establecerán en el Reglamento Operativo del Programa. NAFIN destinará recursos por proyecto con arreglo a procedimientos establecidos en el ROP y en función a la práctica del “primero en tiempo primero </w:t>
      </w:r>
      <w:r w:rsidR="00E31CF7">
        <w:rPr>
          <w:rFonts w:ascii="Times New Roman" w:hAnsi="Times New Roman"/>
          <w:szCs w:val="24"/>
          <w:lang w:val="es-ES_tradnl"/>
        </w:rPr>
        <w:t>en derecho</w:t>
      </w:r>
      <w:r w:rsidRPr="00FD774A">
        <w:rPr>
          <w:rFonts w:ascii="Times New Roman" w:hAnsi="Times New Roman"/>
          <w:szCs w:val="24"/>
          <w:lang w:val="es-ES_tradnl"/>
        </w:rPr>
        <w:t>”.</w:t>
      </w:r>
    </w:p>
    <w:p w:rsidR="00FD774A" w:rsidRDefault="00FD774A" w:rsidP="00960DB1">
      <w:pPr>
        <w:keepNext/>
        <w:keepLines/>
        <w:widowControl/>
        <w:tabs>
          <w:tab w:val="left" w:pos="-1440"/>
        </w:tabs>
        <w:ind w:left="720" w:hanging="720"/>
        <w:jc w:val="both"/>
        <w:rPr>
          <w:rFonts w:ascii="Times New Roman" w:hAnsi="Times New Roman"/>
          <w:b/>
          <w:szCs w:val="24"/>
          <w:lang w:val="es-ES"/>
        </w:rPr>
      </w:pPr>
    </w:p>
    <w:p w:rsidR="008F116B" w:rsidRPr="00FD774A" w:rsidRDefault="008F116B" w:rsidP="00960DB1">
      <w:pPr>
        <w:keepNext/>
        <w:keepLines/>
        <w:widowControl/>
        <w:tabs>
          <w:tab w:val="left" w:pos="-1440"/>
        </w:tabs>
        <w:ind w:left="720" w:hanging="720"/>
        <w:jc w:val="both"/>
        <w:rPr>
          <w:rFonts w:ascii="Times New Roman" w:hAnsi="Times New Roman"/>
          <w:szCs w:val="24"/>
          <w:lang w:val="es-ES"/>
        </w:rPr>
      </w:pPr>
      <w:r w:rsidRPr="00FD774A">
        <w:rPr>
          <w:rFonts w:ascii="Times New Roman" w:hAnsi="Times New Roman"/>
          <w:b/>
          <w:szCs w:val="24"/>
          <w:lang w:val="es-ES"/>
        </w:rPr>
        <w:t>III.</w:t>
      </w:r>
      <w:r w:rsidRPr="00FD774A">
        <w:rPr>
          <w:rFonts w:ascii="Times New Roman" w:hAnsi="Times New Roman"/>
          <w:b/>
          <w:szCs w:val="24"/>
          <w:lang w:val="es-ES"/>
        </w:rPr>
        <w:tab/>
      </w:r>
      <w:r w:rsidRPr="00FD774A">
        <w:rPr>
          <w:rFonts w:ascii="Times New Roman" w:hAnsi="Times New Roman"/>
          <w:b/>
          <w:szCs w:val="24"/>
          <w:u w:val="single"/>
          <w:lang w:val="es-ES"/>
        </w:rPr>
        <w:t xml:space="preserve">Costo </w:t>
      </w:r>
      <w:r w:rsidR="0059751E" w:rsidRPr="00FD774A">
        <w:rPr>
          <w:rFonts w:ascii="Times New Roman" w:hAnsi="Times New Roman"/>
          <w:b/>
          <w:szCs w:val="24"/>
          <w:u w:val="single"/>
          <w:lang w:val="es-ES"/>
        </w:rPr>
        <w:t xml:space="preserve">del </w:t>
      </w:r>
      <w:r w:rsidR="006C35C2" w:rsidRPr="00FD774A">
        <w:rPr>
          <w:rFonts w:ascii="Times New Roman" w:hAnsi="Times New Roman"/>
          <w:b/>
          <w:szCs w:val="24"/>
          <w:u w:val="single"/>
          <w:lang w:val="es-ES"/>
        </w:rPr>
        <w:t>Programa</w:t>
      </w:r>
      <w:r w:rsidRPr="00FD774A">
        <w:rPr>
          <w:rFonts w:ascii="Times New Roman" w:hAnsi="Times New Roman"/>
          <w:b/>
          <w:szCs w:val="24"/>
          <w:u w:val="single"/>
          <w:lang w:val="es-ES"/>
        </w:rPr>
        <w:t xml:space="preserve"> y plan de financiamiento</w:t>
      </w:r>
    </w:p>
    <w:p w:rsidR="008F116B" w:rsidRPr="00FD774A" w:rsidRDefault="008F116B" w:rsidP="00960DB1">
      <w:pPr>
        <w:keepNext/>
        <w:keepLines/>
        <w:widowControl/>
        <w:jc w:val="both"/>
        <w:rPr>
          <w:rFonts w:ascii="Times New Roman" w:hAnsi="Times New Roman"/>
          <w:szCs w:val="24"/>
          <w:lang w:val="es-ES"/>
        </w:rPr>
      </w:pPr>
    </w:p>
    <w:p w:rsidR="00FD774A" w:rsidRDefault="008F116B" w:rsidP="00960DB1">
      <w:pPr>
        <w:keepNext/>
        <w:keepLines/>
        <w:widowControl/>
        <w:tabs>
          <w:tab w:val="left" w:pos="-1440"/>
        </w:tabs>
        <w:ind w:left="720" w:hanging="720"/>
        <w:jc w:val="both"/>
        <w:rPr>
          <w:rFonts w:ascii="Times New Roman" w:hAnsi="Times New Roman"/>
          <w:b/>
          <w:szCs w:val="24"/>
          <w:u w:val="single"/>
          <w:lang w:val="es-ES"/>
        </w:rPr>
      </w:pPr>
      <w:r w:rsidRPr="00FD774A">
        <w:rPr>
          <w:rFonts w:ascii="Times New Roman" w:hAnsi="Times New Roman"/>
          <w:b/>
          <w:szCs w:val="24"/>
          <w:lang w:val="es-ES"/>
        </w:rPr>
        <w:t>3.01</w:t>
      </w:r>
      <w:r w:rsidRPr="00FD774A">
        <w:rPr>
          <w:rFonts w:ascii="Times New Roman" w:hAnsi="Times New Roman"/>
          <w:b/>
          <w:szCs w:val="24"/>
          <w:lang w:val="es-ES"/>
        </w:rPr>
        <w:tab/>
      </w:r>
      <w:r w:rsidRPr="00FD774A">
        <w:rPr>
          <w:rFonts w:ascii="Times New Roman" w:hAnsi="Times New Roman"/>
          <w:szCs w:val="24"/>
          <w:lang w:val="es-ES"/>
        </w:rPr>
        <w:t xml:space="preserve">El costo estimado del </w:t>
      </w:r>
      <w:r w:rsidR="006C35C2" w:rsidRPr="00FD774A">
        <w:rPr>
          <w:rFonts w:ascii="Times New Roman" w:hAnsi="Times New Roman"/>
          <w:szCs w:val="24"/>
          <w:lang w:val="es-ES"/>
        </w:rPr>
        <w:t>Programa</w:t>
      </w:r>
      <w:r w:rsidRPr="00FD774A">
        <w:rPr>
          <w:rFonts w:ascii="Times New Roman" w:hAnsi="Times New Roman"/>
          <w:szCs w:val="24"/>
          <w:lang w:val="es-ES"/>
        </w:rPr>
        <w:t xml:space="preserve"> es el equivalente de US</w:t>
      </w:r>
      <w:r w:rsidR="006C35C2" w:rsidRPr="00FD774A">
        <w:rPr>
          <w:rFonts w:ascii="Times New Roman" w:hAnsi="Times New Roman"/>
          <w:szCs w:val="24"/>
          <w:lang w:val="es-ES"/>
        </w:rPr>
        <w:t>$</w:t>
      </w:r>
      <w:r w:rsidR="004B1572">
        <w:rPr>
          <w:rFonts w:ascii="Times New Roman" w:hAnsi="Times New Roman"/>
          <w:szCs w:val="24"/>
          <w:lang w:val="es-ES"/>
        </w:rPr>
        <w:t>5</w:t>
      </w:r>
      <w:r w:rsidR="00A00AFA" w:rsidRPr="00FD774A">
        <w:rPr>
          <w:rFonts w:ascii="Times New Roman" w:hAnsi="Times New Roman"/>
          <w:szCs w:val="24"/>
          <w:lang w:val="es-ES"/>
        </w:rPr>
        <w:t>0</w:t>
      </w:r>
      <w:r w:rsidR="006C35C2" w:rsidRPr="00FD774A">
        <w:rPr>
          <w:rFonts w:ascii="Times New Roman" w:hAnsi="Times New Roman"/>
          <w:szCs w:val="24"/>
          <w:lang w:val="es-ES"/>
        </w:rPr>
        <w:t>.000.000,</w:t>
      </w:r>
      <w:r w:rsidRPr="00FD774A">
        <w:rPr>
          <w:rFonts w:ascii="Times New Roman" w:hAnsi="Times New Roman"/>
          <w:szCs w:val="24"/>
          <w:lang w:val="es-ES"/>
        </w:rPr>
        <w:t xml:space="preserve"> </w:t>
      </w:r>
      <w:r w:rsidR="00FD774A">
        <w:rPr>
          <w:rFonts w:ascii="Times New Roman" w:hAnsi="Times New Roman"/>
          <w:szCs w:val="24"/>
          <w:lang w:val="es-ES"/>
        </w:rPr>
        <w:t xml:space="preserve">según la </w:t>
      </w:r>
      <w:r w:rsidRPr="00FD774A">
        <w:rPr>
          <w:rFonts w:ascii="Times New Roman" w:hAnsi="Times New Roman"/>
          <w:szCs w:val="24"/>
          <w:lang w:val="es-ES"/>
        </w:rPr>
        <w:t>distribución por categorías de inversión y por fuentes de financiamiento</w:t>
      </w:r>
      <w:r w:rsidR="00FD774A">
        <w:rPr>
          <w:rFonts w:ascii="Times New Roman" w:hAnsi="Times New Roman"/>
          <w:szCs w:val="24"/>
          <w:lang w:val="es-ES"/>
        </w:rPr>
        <w:t xml:space="preserve"> que se presenta a continuación</w:t>
      </w:r>
      <w:r w:rsidRPr="00FD774A">
        <w:rPr>
          <w:rFonts w:ascii="Times New Roman" w:hAnsi="Times New Roman"/>
          <w:szCs w:val="24"/>
          <w:lang w:val="es-ES"/>
        </w:rPr>
        <w:t>:</w:t>
      </w:r>
    </w:p>
    <w:p w:rsidR="00FD774A" w:rsidRDefault="00FD774A" w:rsidP="00FD774A">
      <w:pPr>
        <w:widowControl/>
        <w:tabs>
          <w:tab w:val="center" w:pos="4680"/>
        </w:tabs>
        <w:jc w:val="center"/>
        <w:rPr>
          <w:rFonts w:ascii="Times New Roman" w:hAnsi="Times New Roman"/>
          <w:b/>
          <w:szCs w:val="24"/>
          <w:u w:val="single"/>
          <w:lang w:val="es-ES"/>
        </w:rPr>
      </w:pPr>
    </w:p>
    <w:p w:rsidR="008F116B" w:rsidRPr="00FD774A" w:rsidRDefault="008F116B" w:rsidP="00FD774A">
      <w:pPr>
        <w:widowControl/>
        <w:tabs>
          <w:tab w:val="center" w:pos="4680"/>
        </w:tabs>
        <w:jc w:val="center"/>
        <w:rPr>
          <w:rFonts w:ascii="Times New Roman" w:hAnsi="Times New Roman"/>
          <w:szCs w:val="24"/>
          <w:lang w:val="es-ES"/>
        </w:rPr>
      </w:pPr>
      <w:r w:rsidRPr="00FD774A">
        <w:rPr>
          <w:rFonts w:ascii="Times New Roman" w:hAnsi="Times New Roman"/>
          <w:b/>
          <w:szCs w:val="24"/>
          <w:u w:val="single"/>
          <w:lang w:val="es-ES"/>
        </w:rPr>
        <w:t>Costo y financiamiento</w:t>
      </w:r>
    </w:p>
    <w:tbl>
      <w:tblPr>
        <w:tblW w:w="6243" w:type="dxa"/>
        <w:jc w:val="center"/>
        <w:tblLook w:val="0000"/>
      </w:tblPr>
      <w:tblGrid>
        <w:gridCol w:w="2538"/>
        <w:gridCol w:w="572"/>
        <w:gridCol w:w="816"/>
        <w:gridCol w:w="749"/>
        <w:gridCol w:w="1568"/>
      </w:tblGrid>
      <w:tr w:rsidR="0058308E" w:rsidRPr="00FD774A" w:rsidTr="007B5DC0">
        <w:trPr>
          <w:trHeight w:val="255"/>
          <w:jc w:val="center"/>
        </w:trPr>
        <w:tc>
          <w:tcPr>
            <w:tcW w:w="6243" w:type="dxa"/>
            <w:gridSpan w:val="5"/>
            <w:tcBorders>
              <w:bottom w:val="single" w:sz="4" w:space="0" w:color="auto"/>
            </w:tcBorders>
            <w:shd w:val="clear" w:color="auto" w:fill="auto"/>
            <w:noWrap/>
            <w:vAlign w:val="bottom"/>
          </w:tcPr>
          <w:p w:rsidR="0058308E" w:rsidRPr="00FD774A" w:rsidRDefault="00230AAC" w:rsidP="00FD774A">
            <w:pPr>
              <w:widowControl/>
              <w:spacing w:after="120"/>
              <w:jc w:val="center"/>
              <w:rPr>
                <w:rFonts w:ascii="Times New Roman" w:hAnsi="Times New Roman"/>
                <w:b/>
                <w:snapToGrid/>
                <w:sz w:val="20"/>
                <w:lang w:val="es-ES"/>
              </w:rPr>
            </w:pPr>
            <w:r w:rsidRPr="00FD774A">
              <w:rPr>
                <w:rFonts w:ascii="Times New Roman" w:hAnsi="Times New Roman"/>
                <w:b/>
                <w:snapToGrid/>
                <w:sz w:val="20"/>
                <w:lang w:val="es-ES"/>
              </w:rPr>
              <w:t>(</w:t>
            </w:r>
            <w:r w:rsidR="0058308E" w:rsidRPr="00FD774A">
              <w:rPr>
                <w:rFonts w:ascii="Times New Roman" w:hAnsi="Times New Roman"/>
                <w:b/>
                <w:snapToGrid/>
                <w:sz w:val="20"/>
                <w:lang w:val="es-ES"/>
              </w:rPr>
              <w:t>US$ millones)</w:t>
            </w:r>
          </w:p>
        </w:tc>
      </w:tr>
      <w:tr w:rsidR="0058308E" w:rsidRPr="00FD774A" w:rsidTr="007B5DC0">
        <w:trPr>
          <w:trHeight w:val="255"/>
          <w:jc w:val="center"/>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58308E" w:rsidP="00FD774A">
            <w:pPr>
              <w:widowControl/>
              <w:jc w:val="center"/>
              <w:rPr>
                <w:rFonts w:ascii="Times New Roman" w:hAnsi="Times New Roman"/>
                <w:b/>
                <w:bCs/>
                <w:snapToGrid/>
                <w:sz w:val="20"/>
                <w:lang w:val="es-ES"/>
              </w:rPr>
            </w:pPr>
            <w:r w:rsidRPr="00FD774A">
              <w:rPr>
                <w:rFonts w:ascii="Times New Roman" w:hAnsi="Times New Roman"/>
                <w:b/>
                <w:bCs/>
                <w:snapToGrid/>
                <w:sz w:val="20"/>
                <w:lang w:val="es-ES"/>
              </w:rPr>
              <w:t>Componentes</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58308E" w:rsidP="00FD774A">
            <w:pPr>
              <w:widowControl/>
              <w:jc w:val="center"/>
              <w:rPr>
                <w:rFonts w:ascii="Times New Roman" w:hAnsi="Times New Roman"/>
                <w:b/>
                <w:bCs/>
                <w:snapToGrid/>
                <w:sz w:val="20"/>
                <w:lang w:val="es-ES"/>
              </w:rPr>
            </w:pPr>
            <w:r w:rsidRPr="00FD774A">
              <w:rPr>
                <w:rFonts w:ascii="Times New Roman" w:hAnsi="Times New Roman"/>
                <w:b/>
                <w:bCs/>
                <w:snapToGrid/>
                <w:sz w:val="20"/>
                <w:lang w:val="es-ES"/>
              </w:rPr>
              <w:t>BID</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58308E" w:rsidP="00FD774A">
            <w:pPr>
              <w:widowControl/>
              <w:jc w:val="center"/>
              <w:rPr>
                <w:rFonts w:ascii="Times New Roman" w:hAnsi="Times New Roman"/>
                <w:b/>
                <w:bCs/>
                <w:snapToGrid/>
                <w:sz w:val="20"/>
                <w:lang w:val="es-ES"/>
              </w:rPr>
            </w:pPr>
            <w:r w:rsidRPr="00FD774A">
              <w:rPr>
                <w:rFonts w:ascii="Times New Roman" w:hAnsi="Times New Roman"/>
                <w:b/>
                <w:bCs/>
                <w:snapToGrid/>
                <w:sz w:val="20"/>
                <w:lang w:val="es-ES"/>
              </w:rPr>
              <w:t>Local</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58308E" w:rsidP="00FD774A">
            <w:pPr>
              <w:widowControl/>
              <w:jc w:val="center"/>
              <w:rPr>
                <w:rFonts w:ascii="Times New Roman" w:hAnsi="Times New Roman"/>
                <w:b/>
                <w:bCs/>
                <w:snapToGrid/>
                <w:sz w:val="20"/>
                <w:lang w:val="es-ES"/>
              </w:rPr>
            </w:pPr>
            <w:r w:rsidRPr="00FD774A">
              <w:rPr>
                <w:rFonts w:ascii="Times New Roman" w:hAnsi="Times New Roman"/>
                <w:b/>
                <w:bCs/>
                <w:snapToGrid/>
                <w:sz w:val="20"/>
                <w:lang w:val="es-ES"/>
              </w:rPr>
              <w:t>Total</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58308E" w:rsidP="00FD774A">
            <w:pPr>
              <w:widowControl/>
              <w:jc w:val="center"/>
              <w:rPr>
                <w:rFonts w:ascii="Times New Roman" w:hAnsi="Times New Roman"/>
                <w:b/>
                <w:bCs/>
                <w:snapToGrid/>
                <w:sz w:val="20"/>
                <w:lang w:val="es-ES"/>
              </w:rPr>
            </w:pPr>
            <w:r w:rsidRPr="00FD774A">
              <w:rPr>
                <w:rFonts w:ascii="Times New Roman" w:hAnsi="Times New Roman"/>
                <w:b/>
                <w:bCs/>
                <w:snapToGrid/>
                <w:sz w:val="20"/>
                <w:lang w:val="es-ES"/>
              </w:rPr>
              <w:t>Porcentaje</w:t>
            </w:r>
          </w:p>
        </w:tc>
      </w:tr>
      <w:tr w:rsidR="0058308E" w:rsidRPr="00FD774A" w:rsidTr="007B5DC0">
        <w:trPr>
          <w:trHeight w:val="255"/>
          <w:jc w:val="center"/>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6433CB" w:rsidP="00FD774A">
            <w:pPr>
              <w:widowControl/>
              <w:jc w:val="center"/>
              <w:rPr>
                <w:rFonts w:ascii="Times New Roman" w:hAnsi="Times New Roman"/>
                <w:snapToGrid/>
                <w:sz w:val="20"/>
                <w:lang w:val="es-ES"/>
              </w:rPr>
            </w:pPr>
            <w:r w:rsidRPr="00FD774A">
              <w:rPr>
                <w:rFonts w:ascii="Times New Roman" w:hAnsi="Times New Roman"/>
                <w:sz w:val="20"/>
                <w:lang w:val="es-ES_tradnl"/>
              </w:rPr>
              <w:t>Financiamiento de Energías Renovables (PFER)</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4B1572" w:rsidP="00FD774A">
            <w:pPr>
              <w:widowControl/>
              <w:jc w:val="center"/>
              <w:rPr>
                <w:rFonts w:ascii="Times New Roman" w:hAnsi="Times New Roman"/>
                <w:snapToGrid/>
                <w:sz w:val="20"/>
                <w:lang w:val="es-ES"/>
              </w:rPr>
            </w:pPr>
            <w:r>
              <w:rPr>
                <w:rFonts w:ascii="Times New Roman" w:hAnsi="Times New Roman"/>
                <w:snapToGrid/>
                <w:sz w:val="20"/>
                <w:lang w:val="es-ES"/>
              </w:rPr>
              <w:t>4</w:t>
            </w:r>
            <w:r w:rsidR="00230AAC" w:rsidRPr="00FD774A">
              <w:rPr>
                <w:rFonts w:ascii="Times New Roman" w:hAnsi="Times New Roman"/>
                <w:snapToGrid/>
                <w:sz w:val="20"/>
                <w:lang w:val="es-ES"/>
              </w:rPr>
              <w:t>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58308E" w:rsidP="00FD774A">
            <w:pPr>
              <w:widowControl/>
              <w:jc w:val="center"/>
              <w:rPr>
                <w:rFonts w:ascii="Times New Roman" w:hAnsi="Times New Roman"/>
                <w:snapToGrid/>
                <w:sz w:val="20"/>
                <w:lang w:val="es-ES"/>
              </w:rPr>
            </w:pPr>
            <w:r w:rsidRPr="00FD774A">
              <w:rPr>
                <w:rFonts w:ascii="Times New Roman" w:hAnsi="Times New Roman"/>
                <w:snapToGrid/>
                <w:sz w:val="20"/>
                <w:lang w:val="es-ES"/>
              </w:rPr>
              <w:t>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4B1572" w:rsidP="00FD774A">
            <w:pPr>
              <w:widowControl/>
              <w:jc w:val="center"/>
              <w:rPr>
                <w:rFonts w:ascii="Times New Roman" w:hAnsi="Times New Roman"/>
                <w:snapToGrid/>
                <w:sz w:val="20"/>
                <w:lang w:val="es-ES"/>
              </w:rPr>
            </w:pPr>
            <w:r>
              <w:rPr>
                <w:rFonts w:ascii="Times New Roman" w:hAnsi="Times New Roman"/>
                <w:snapToGrid/>
                <w:sz w:val="20"/>
                <w:lang w:val="es-ES"/>
              </w:rPr>
              <w:t>4</w:t>
            </w:r>
            <w:r w:rsidR="00230AAC" w:rsidRPr="00FD774A">
              <w:rPr>
                <w:rFonts w:ascii="Times New Roman" w:hAnsi="Times New Roman"/>
                <w:snapToGrid/>
                <w:sz w:val="20"/>
                <w:lang w:val="es-ES"/>
              </w:rPr>
              <w:t>0</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4B1572" w:rsidP="00FD774A">
            <w:pPr>
              <w:widowControl/>
              <w:jc w:val="center"/>
              <w:rPr>
                <w:rFonts w:ascii="Times New Roman" w:hAnsi="Times New Roman"/>
                <w:snapToGrid/>
                <w:sz w:val="20"/>
                <w:lang w:val="es-ES"/>
              </w:rPr>
            </w:pPr>
            <w:r>
              <w:rPr>
                <w:rFonts w:ascii="Times New Roman" w:hAnsi="Times New Roman"/>
                <w:snapToGrid/>
                <w:sz w:val="20"/>
                <w:lang w:val="es-ES"/>
              </w:rPr>
              <w:t>8</w:t>
            </w:r>
            <w:r w:rsidR="00230AAC" w:rsidRPr="00FD774A">
              <w:rPr>
                <w:rFonts w:ascii="Times New Roman" w:hAnsi="Times New Roman"/>
                <w:snapToGrid/>
                <w:sz w:val="20"/>
                <w:lang w:val="es-ES"/>
              </w:rPr>
              <w:t>0</w:t>
            </w:r>
            <w:r w:rsidR="0058308E" w:rsidRPr="00FD774A">
              <w:rPr>
                <w:rFonts w:ascii="Times New Roman" w:hAnsi="Times New Roman"/>
                <w:snapToGrid/>
                <w:sz w:val="20"/>
                <w:lang w:val="es-ES"/>
              </w:rPr>
              <w:t>%</w:t>
            </w:r>
          </w:p>
        </w:tc>
      </w:tr>
      <w:tr w:rsidR="0058308E" w:rsidRPr="00FD774A" w:rsidTr="007B5DC0">
        <w:trPr>
          <w:trHeight w:val="255"/>
          <w:jc w:val="center"/>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230AAC" w:rsidP="00FD774A">
            <w:pPr>
              <w:widowControl/>
              <w:jc w:val="center"/>
              <w:rPr>
                <w:rFonts w:ascii="Times New Roman" w:hAnsi="Times New Roman"/>
                <w:snapToGrid/>
                <w:sz w:val="20"/>
                <w:lang w:val="es-ES"/>
              </w:rPr>
            </w:pPr>
            <w:r w:rsidRPr="00FD774A">
              <w:rPr>
                <w:rFonts w:ascii="Times New Roman" w:hAnsi="Times New Roman"/>
                <w:sz w:val="20"/>
                <w:lang w:val="es-ES_tradnl"/>
              </w:rPr>
              <w:t xml:space="preserve">Financiamiento de </w:t>
            </w:r>
            <w:r w:rsidR="00D319FD">
              <w:rPr>
                <w:rFonts w:ascii="Times New Roman" w:hAnsi="Times New Roman"/>
                <w:sz w:val="20"/>
                <w:lang w:val="es-ES_tradnl"/>
              </w:rPr>
              <w:t>PYME</w:t>
            </w:r>
            <w:r w:rsidRPr="00FD774A">
              <w:rPr>
                <w:rFonts w:ascii="Times New Roman" w:hAnsi="Times New Roman"/>
                <w:sz w:val="20"/>
                <w:lang w:val="es-ES_tradnl"/>
              </w:rPr>
              <w:t>S</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4B1572" w:rsidP="00FD774A">
            <w:pPr>
              <w:widowControl/>
              <w:jc w:val="center"/>
              <w:rPr>
                <w:rFonts w:ascii="Times New Roman" w:hAnsi="Times New Roman"/>
                <w:snapToGrid/>
                <w:sz w:val="20"/>
                <w:lang w:val="es-ES"/>
              </w:rPr>
            </w:pPr>
            <w:r>
              <w:rPr>
                <w:rFonts w:ascii="Times New Roman" w:hAnsi="Times New Roman"/>
                <w:snapToGrid/>
                <w:sz w:val="20"/>
                <w:lang w:val="es-ES"/>
              </w:rPr>
              <w:t>1</w:t>
            </w:r>
            <w:r w:rsidR="00230AAC" w:rsidRPr="00FD774A">
              <w:rPr>
                <w:rFonts w:ascii="Times New Roman" w:hAnsi="Times New Roman"/>
                <w:snapToGrid/>
                <w:sz w:val="20"/>
                <w:lang w:val="es-ES"/>
              </w:rPr>
              <w:t>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58308E" w:rsidP="00FD774A">
            <w:pPr>
              <w:widowControl/>
              <w:jc w:val="center"/>
              <w:rPr>
                <w:rFonts w:ascii="Times New Roman" w:hAnsi="Times New Roman"/>
                <w:snapToGrid/>
                <w:sz w:val="20"/>
                <w:lang w:val="es-ES"/>
              </w:rPr>
            </w:pPr>
            <w:r w:rsidRPr="00FD774A">
              <w:rPr>
                <w:rFonts w:ascii="Times New Roman" w:hAnsi="Times New Roman"/>
                <w:snapToGrid/>
                <w:sz w:val="20"/>
                <w:lang w:val="es-ES"/>
              </w:rPr>
              <w:t>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4B1572" w:rsidP="00FD774A">
            <w:pPr>
              <w:widowControl/>
              <w:jc w:val="center"/>
              <w:rPr>
                <w:rFonts w:ascii="Times New Roman" w:hAnsi="Times New Roman"/>
                <w:snapToGrid/>
                <w:sz w:val="20"/>
                <w:lang w:val="es-ES"/>
              </w:rPr>
            </w:pPr>
            <w:r>
              <w:rPr>
                <w:rFonts w:ascii="Times New Roman" w:hAnsi="Times New Roman"/>
                <w:snapToGrid/>
                <w:sz w:val="20"/>
                <w:lang w:val="es-ES"/>
              </w:rPr>
              <w:t>1</w:t>
            </w:r>
            <w:r w:rsidR="00230AAC" w:rsidRPr="00FD774A">
              <w:rPr>
                <w:rFonts w:ascii="Times New Roman" w:hAnsi="Times New Roman"/>
                <w:snapToGrid/>
                <w:sz w:val="20"/>
                <w:lang w:val="es-ES"/>
              </w:rPr>
              <w:t>0</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4B1572" w:rsidP="00FD774A">
            <w:pPr>
              <w:widowControl/>
              <w:jc w:val="center"/>
              <w:rPr>
                <w:rFonts w:ascii="Times New Roman" w:hAnsi="Times New Roman"/>
                <w:snapToGrid/>
                <w:sz w:val="20"/>
                <w:lang w:val="es-ES"/>
              </w:rPr>
            </w:pPr>
            <w:r>
              <w:rPr>
                <w:rFonts w:ascii="Times New Roman" w:hAnsi="Times New Roman"/>
                <w:snapToGrid/>
                <w:sz w:val="20"/>
                <w:lang w:val="es-ES"/>
              </w:rPr>
              <w:t>2</w:t>
            </w:r>
            <w:r w:rsidR="00230AAC" w:rsidRPr="00FD774A">
              <w:rPr>
                <w:rFonts w:ascii="Times New Roman" w:hAnsi="Times New Roman"/>
                <w:snapToGrid/>
                <w:sz w:val="20"/>
                <w:lang w:val="es-ES"/>
              </w:rPr>
              <w:t>0</w:t>
            </w:r>
            <w:r w:rsidR="0058308E" w:rsidRPr="00FD774A">
              <w:rPr>
                <w:rFonts w:ascii="Times New Roman" w:hAnsi="Times New Roman"/>
                <w:snapToGrid/>
                <w:sz w:val="20"/>
                <w:lang w:val="es-ES"/>
              </w:rPr>
              <w:t>%</w:t>
            </w:r>
          </w:p>
        </w:tc>
      </w:tr>
      <w:tr w:rsidR="0058308E" w:rsidRPr="00FD774A" w:rsidTr="007B5DC0">
        <w:trPr>
          <w:trHeight w:val="255"/>
          <w:jc w:val="center"/>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FD774A" w:rsidRDefault="0058308E" w:rsidP="00FD774A">
            <w:pPr>
              <w:widowControl/>
              <w:jc w:val="center"/>
              <w:rPr>
                <w:rFonts w:ascii="Times New Roman" w:hAnsi="Times New Roman"/>
                <w:b/>
                <w:snapToGrid/>
                <w:sz w:val="20"/>
                <w:lang w:val="es-ES"/>
              </w:rPr>
            </w:pPr>
            <w:r w:rsidRPr="00FD774A">
              <w:rPr>
                <w:rFonts w:ascii="Times New Roman" w:hAnsi="Times New Roman"/>
                <w:b/>
                <w:snapToGrid/>
                <w:sz w:val="20"/>
                <w:lang w:val="es-ES"/>
              </w:rPr>
              <w:t>Total</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844093" w:rsidRDefault="008D00C9" w:rsidP="00FD774A">
            <w:pPr>
              <w:widowControl/>
              <w:jc w:val="center"/>
              <w:rPr>
                <w:rFonts w:ascii="Times New Roman" w:hAnsi="Times New Roman"/>
                <w:b/>
                <w:snapToGrid/>
                <w:sz w:val="20"/>
                <w:lang w:val="es-ES"/>
              </w:rPr>
            </w:pPr>
            <w:r w:rsidRPr="00844093">
              <w:rPr>
                <w:rFonts w:ascii="Times New Roman" w:hAnsi="Times New Roman"/>
                <w:b/>
                <w:snapToGrid/>
                <w:sz w:val="20"/>
                <w:lang w:val="es-ES"/>
              </w:rPr>
              <w:t>5</w:t>
            </w:r>
            <w:r w:rsidR="00A00AFA" w:rsidRPr="00844093">
              <w:rPr>
                <w:rFonts w:ascii="Times New Roman" w:hAnsi="Times New Roman"/>
                <w:b/>
                <w:snapToGrid/>
                <w:sz w:val="20"/>
                <w:lang w:val="es-ES"/>
              </w:rPr>
              <w:t>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844093" w:rsidRDefault="0058308E" w:rsidP="00FD774A">
            <w:pPr>
              <w:widowControl/>
              <w:jc w:val="center"/>
              <w:rPr>
                <w:rFonts w:ascii="Times New Roman" w:hAnsi="Times New Roman"/>
                <w:b/>
                <w:snapToGrid/>
                <w:sz w:val="20"/>
                <w:lang w:val="es-ES"/>
              </w:rPr>
            </w:pPr>
            <w:r w:rsidRPr="00844093">
              <w:rPr>
                <w:rFonts w:ascii="Times New Roman" w:hAnsi="Times New Roman"/>
                <w:b/>
                <w:snapToGrid/>
                <w:sz w:val="20"/>
                <w:lang w:val="es-ES"/>
              </w:rPr>
              <w:t>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844093" w:rsidRDefault="008D00C9" w:rsidP="00FD774A">
            <w:pPr>
              <w:widowControl/>
              <w:jc w:val="center"/>
              <w:rPr>
                <w:rFonts w:ascii="Times New Roman" w:hAnsi="Times New Roman"/>
                <w:b/>
                <w:snapToGrid/>
                <w:sz w:val="20"/>
                <w:lang w:val="es-ES"/>
              </w:rPr>
            </w:pPr>
            <w:r w:rsidRPr="00844093">
              <w:rPr>
                <w:rFonts w:ascii="Times New Roman" w:hAnsi="Times New Roman"/>
                <w:b/>
                <w:snapToGrid/>
                <w:sz w:val="20"/>
                <w:lang w:val="es-ES"/>
              </w:rPr>
              <w:t>50</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8E" w:rsidRPr="00844093" w:rsidRDefault="0058308E" w:rsidP="00FD774A">
            <w:pPr>
              <w:widowControl/>
              <w:jc w:val="center"/>
              <w:rPr>
                <w:rFonts w:ascii="Times New Roman" w:hAnsi="Times New Roman"/>
                <w:b/>
                <w:snapToGrid/>
                <w:sz w:val="20"/>
                <w:lang w:val="es-ES"/>
              </w:rPr>
            </w:pPr>
            <w:r w:rsidRPr="00844093">
              <w:rPr>
                <w:rFonts w:ascii="Times New Roman" w:hAnsi="Times New Roman"/>
                <w:b/>
                <w:snapToGrid/>
                <w:sz w:val="20"/>
                <w:lang w:val="es-ES"/>
              </w:rPr>
              <w:t>100%</w:t>
            </w:r>
          </w:p>
        </w:tc>
      </w:tr>
    </w:tbl>
    <w:p w:rsidR="0041197B" w:rsidRPr="0041197B" w:rsidRDefault="0041197B" w:rsidP="0041197B">
      <w:pPr>
        <w:pStyle w:val="ListParagraph"/>
        <w:widowControl/>
        <w:numPr>
          <w:ilvl w:val="0"/>
          <w:numId w:val="8"/>
        </w:numPr>
        <w:jc w:val="both"/>
        <w:rPr>
          <w:rFonts w:ascii="Times New Roman" w:hAnsi="Times New Roman"/>
          <w:bCs/>
          <w:sz w:val="16"/>
          <w:szCs w:val="16"/>
          <w:lang w:val="es-ES_tradnl"/>
        </w:rPr>
      </w:pPr>
      <w:r w:rsidRPr="0041197B">
        <w:rPr>
          <w:rFonts w:ascii="Times New Roman" w:hAnsi="Times New Roman"/>
          <w:bCs/>
          <w:sz w:val="16"/>
          <w:szCs w:val="16"/>
          <w:lang w:val="es-ES_tradnl"/>
        </w:rPr>
        <w:t>Los recursos asignados a cada componente pueden variar</w:t>
      </w:r>
      <w:r w:rsidR="004B1572">
        <w:rPr>
          <w:rFonts w:ascii="Times New Roman" w:hAnsi="Times New Roman"/>
          <w:bCs/>
          <w:sz w:val="16"/>
          <w:szCs w:val="16"/>
          <w:lang w:val="es-ES_tradnl"/>
        </w:rPr>
        <w:t xml:space="preserve"> en función de la demanda</w:t>
      </w:r>
      <w:r w:rsidRPr="0041197B">
        <w:rPr>
          <w:rFonts w:ascii="Times New Roman" w:hAnsi="Times New Roman"/>
          <w:bCs/>
          <w:sz w:val="16"/>
          <w:szCs w:val="16"/>
          <w:lang w:val="es-ES_tradnl"/>
        </w:rPr>
        <w:t>.</w:t>
      </w:r>
    </w:p>
    <w:p w:rsidR="00FD774A" w:rsidRDefault="00FD774A" w:rsidP="00FD774A">
      <w:pPr>
        <w:widowControl/>
        <w:jc w:val="both"/>
        <w:rPr>
          <w:rFonts w:ascii="Times New Roman" w:hAnsi="Times New Roman"/>
          <w:b/>
          <w:bCs/>
          <w:szCs w:val="24"/>
          <w:lang w:val="es-ES"/>
        </w:rPr>
      </w:pPr>
    </w:p>
    <w:p w:rsidR="008F116B" w:rsidRPr="00FD774A" w:rsidRDefault="008F116B" w:rsidP="00FD774A">
      <w:pPr>
        <w:widowControl/>
        <w:jc w:val="both"/>
        <w:rPr>
          <w:rFonts w:ascii="Times New Roman" w:hAnsi="Times New Roman"/>
          <w:b/>
          <w:bCs/>
          <w:szCs w:val="24"/>
          <w:u w:val="single"/>
          <w:lang w:val="es-ES"/>
        </w:rPr>
      </w:pPr>
      <w:r w:rsidRPr="00FD774A">
        <w:rPr>
          <w:rFonts w:ascii="Times New Roman" w:hAnsi="Times New Roman"/>
          <w:b/>
          <w:bCs/>
          <w:szCs w:val="24"/>
          <w:lang w:val="es-ES"/>
        </w:rPr>
        <w:t>IV.</w:t>
      </w:r>
      <w:r w:rsidRPr="00FD774A">
        <w:rPr>
          <w:rFonts w:ascii="Times New Roman" w:hAnsi="Times New Roman"/>
          <w:b/>
          <w:bCs/>
          <w:szCs w:val="24"/>
          <w:lang w:val="es-ES"/>
        </w:rPr>
        <w:tab/>
      </w:r>
      <w:r w:rsidRPr="00FD774A">
        <w:rPr>
          <w:rFonts w:ascii="Times New Roman" w:hAnsi="Times New Roman"/>
          <w:b/>
          <w:bCs/>
          <w:szCs w:val="24"/>
          <w:u w:val="single"/>
          <w:lang w:val="es-ES"/>
        </w:rPr>
        <w:t xml:space="preserve">Ejecución </w:t>
      </w:r>
    </w:p>
    <w:p w:rsidR="008F116B" w:rsidRPr="00FD774A" w:rsidRDefault="008F116B" w:rsidP="00FD774A">
      <w:pPr>
        <w:widowControl/>
        <w:jc w:val="both"/>
        <w:rPr>
          <w:rFonts w:ascii="Times New Roman" w:hAnsi="Times New Roman"/>
          <w:szCs w:val="24"/>
          <w:lang w:val="es-ES"/>
        </w:rPr>
      </w:pPr>
    </w:p>
    <w:p w:rsidR="0062393D" w:rsidRPr="00FD774A" w:rsidRDefault="008F116B" w:rsidP="00FD774A">
      <w:pPr>
        <w:autoSpaceDE w:val="0"/>
        <w:autoSpaceDN w:val="0"/>
        <w:adjustRightInd w:val="0"/>
        <w:ind w:left="720" w:hanging="720"/>
        <w:jc w:val="both"/>
        <w:rPr>
          <w:rFonts w:ascii="Times New Roman" w:hAnsi="Times New Roman"/>
          <w:szCs w:val="24"/>
          <w:lang w:val="es-ES"/>
        </w:rPr>
      </w:pPr>
      <w:r w:rsidRPr="00FD774A">
        <w:rPr>
          <w:rFonts w:ascii="Times New Roman" w:hAnsi="Times New Roman"/>
          <w:b/>
          <w:bCs/>
          <w:szCs w:val="24"/>
          <w:lang w:val="es-ES"/>
        </w:rPr>
        <w:t>4.01</w:t>
      </w:r>
      <w:r w:rsidRPr="00FD774A">
        <w:rPr>
          <w:rFonts w:ascii="Times New Roman" w:hAnsi="Times New Roman"/>
          <w:b/>
          <w:bCs/>
          <w:szCs w:val="24"/>
          <w:lang w:val="es-ES"/>
        </w:rPr>
        <w:tab/>
      </w:r>
      <w:r w:rsidR="00EE48AF" w:rsidRPr="00FD774A">
        <w:rPr>
          <w:rFonts w:ascii="Times New Roman" w:hAnsi="Times New Roman"/>
          <w:bCs/>
          <w:szCs w:val="24"/>
          <w:lang w:val="es-ES"/>
        </w:rPr>
        <w:t xml:space="preserve">El Prestatario </w:t>
      </w:r>
      <w:r w:rsidR="008461A1" w:rsidRPr="00FD774A">
        <w:rPr>
          <w:rFonts w:ascii="Times New Roman" w:hAnsi="Times New Roman"/>
          <w:bCs/>
          <w:szCs w:val="24"/>
          <w:lang w:val="es-ES"/>
        </w:rPr>
        <w:t>ejecutará el Programa en el marco de su actual estructura organizativa.</w:t>
      </w:r>
      <w:r w:rsidR="0062393D" w:rsidRPr="00FD774A" w:rsidDel="00DE3E61">
        <w:rPr>
          <w:rFonts w:ascii="Times New Roman" w:hAnsi="Times New Roman"/>
          <w:szCs w:val="24"/>
          <w:lang w:val="es-ES_tradnl"/>
        </w:rPr>
        <w:t xml:space="preserve"> </w:t>
      </w:r>
      <w:r w:rsidR="0062393D" w:rsidRPr="00FD774A">
        <w:rPr>
          <w:rFonts w:ascii="Times New Roman" w:hAnsi="Times New Roman"/>
          <w:szCs w:val="24"/>
          <w:lang w:val="es-ES_tradnl"/>
        </w:rPr>
        <w:t>La responsabilidad primaria de la ejecución y coordinación del Componente I corresponderá a la actual Dirección de Proyectos Sustentables o a aquella otra instancia que la sustituya</w:t>
      </w:r>
      <w:r w:rsidR="0062393D" w:rsidRPr="00FD774A">
        <w:rPr>
          <w:rFonts w:ascii="Times New Roman" w:hAnsi="Times New Roman"/>
          <w:szCs w:val="24"/>
          <w:lang w:val="es-ES"/>
        </w:rPr>
        <w:t xml:space="preserve">.  </w:t>
      </w:r>
      <w:r w:rsidR="0062393D" w:rsidRPr="00FD774A">
        <w:rPr>
          <w:rFonts w:ascii="Times New Roman" w:hAnsi="Times New Roman"/>
          <w:szCs w:val="24"/>
          <w:lang w:val="es-ES_tradnl"/>
        </w:rPr>
        <w:t xml:space="preserve">La responsabilidad primaria de la ejecución y coordinación del Componente II corresponderá a la actual Dirección de </w:t>
      </w:r>
      <w:r w:rsidR="005D0EEC">
        <w:rPr>
          <w:rFonts w:ascii="Times New Roman" w:hAnsi="Times New Roman"/>
          <w:szCs w:val="24"/>
          <w:lang w:val="es-ES_tradnl"/>
        </w:rPr>
        <w:t xml:space="preserve">Intermediarios Financieros y Micro Crédito o aquella otra instancia que la sustituya. </w:t>
      </w:r>
      <w:r w:rsidR="005D0EEC">
        <w:rPr>
          <w:rFonts w:ascii="Times New Roman" w:hAnsi="Times New Roman"/>
          <w:szCs w:val="24"/>
          <w:lang w:val="es-ES"/>
        </w:rPr>
        <w:t>E</w:t>
      </w:r>
      <w:r w:rsidR="0062393D" w:rsidRPr="00FD774A">
        <w:rPr>
          <w:rFonts w:ascii="Times New Roman" w:hAnsi="Times New Roman"/>
          <w:szCs w:val="24"/>
          <w:lang w:val="es-ES"/>
        </w:rPr>
        <w:t>l contacto directo con el Banco</w:t>
      </w:r>
      <w:r w:rsidR="005D0EEC">
        <w:rPr>
          <w:rFonts w:ascii="Times New Roman" w:hAnsi="Times New Roman"/>
          <w:szCs w:val="24"/>
          <w:lang w:val="es-ES"/>
        </w:rPr>
        <w:t xml:space="preserve"> lo llevará la Dirección de Organismos Financieros Internacionales</w:t>
      </w:r>
      <w:r w:rsidR="005B75C2">
        <w:rPr>
          <w:rFonts w:ascii="Times New Roman" w:hAnsi="Times New Roman"/>
          <w:szCs w:val="24"/>
          <w:lang w:val="es-ES"/>
        </w:rPr>
        <w:t>, que actuará como Coordinador del Programa</w:t>
      </w:r>
      <w:r w:rsidR="0062393D" w:rsidRPr="00FD774A">
        <w:rPr>
          <w:rFonts w:ascii="Times New Roman" w:hAnsi="Times New Roman"/>
          <w:szCs w:val="24"/>
          <w:lang w:val="es-ES"/>
        </w:rPr>
        <w:t>.</w:t>
      </w:r>
    </w:p>
    <w:p w:rsidR="00230AAC" w:rsidRPr="00FD774A" w:rsidRDefault="00230AAC" w:rsidP="00FD774A">
      <w:pPr>
        <w:widowControl/>
        <w:ind w:left="720" w:hanging="720"/>
        <w:jc w:val="both"/>
        <w:rPr>
          <w:rFonts w:ascii="Times New Roman" w:hAnsi="Times New Roman"/>
          <w:bCs/>
          <w:szCs w:val="24"/>
          <w:lang w:val="es-ES"/>
        </w:rPr>
      </w:pPr>
    </w:p>
    <w:p w:rsidR="008F116B" w:rsidRPr="00FD774A" w:rsidRDefault="0041197B" w:rsidP="00FD774A">
      <w:pPr>
        <w:widowControl/>
        <w:ind w:left="720" w:hanging="720"/>
        <w:jc w:val="both"/>
        <w:rPr>
          <w:rFonts w:ascii="Times New Roman" w:hAnsi="Times New Roman"/>
          <w:bCs/>
          <w:szCs w:val="24"/>
          <w:lang w:val="es-ES"/>
        </w:rPr>
      </w:pPr>
      <w:r w:rsidRPr="0041197B">
        <w:rPr>
          <w:rFonts w:ascii="Times New Roman" w:hAnsi="Times New Roman"/>
          <w:b/>
          <w:bCs/>
          <w:szCs w:val="24"/>
          <w:lang w:val="es-ES"/>
        </w:rPr>
        <w:t>4.02</w:t>
      </w:r>
      <w:r w:rsidR="00230AAC" w:rsidRPr="00FD774A">
        <w:rPr>
          <w:rFonts w:ascii="Times New Roman" w:hAnsi="Times New Roman"/>
          <w:bCs/>
          <w:szCs w:val="24"/>
          <w:lang w:val="es-ES"/>
        </w:rPr>
        <w:tab/>
      </w:r>
      <w:r w:rsidR="008461A1" w:rsidRPr="00FD774A">
        <w:rPr>
          <w:rFonts w:ascii="Times New Roman" w:hAnsi="Times New Roman"/>
          <w:bCs/>
          <w:szCs w:val="24"/>
          <w:lang w:val="es-ES"/>
        </w:rPr>
        <w:t xml:space="preserve">El Reglamento Operativo del Programa, a que se refiere la Cláusula 3.02 de las Estipulaciones Especiales, establecerá, entre otras cosas: (i) la estructura de operación del Programa; (ii) los criterios de elegibilidad </w:t>
      </w:r>
      <w:r w:rsidR="0062393D" w:rsidRPr="00FD774A">
        <w:rPr>
          <w:rFonts w:ascii="Times New Roman" w:hAnsi="Times New Roman"/>
          <w:bCs/>
          <w:szCs w:val="24"/>
          <w:lang w:val="es-ES"/>
        </w:rPr>
        <w:t>para la s</w:t>
      </w:r>
      <w:r w:rsidR="008461A1" w:rsidRPr="00FD774A">
        <w:rPr>
          <w:rFonts w:ascii="Times New Roman" w:hAnsi="Times New Roman"/>
          <w:bCs/>
          <w:szCs w:val="24"/>
          <w:lang w:val="es-ES"/>
        </w:rPr>
        <w:t xml:space="preserve">elección de las IFIs elegibles; (iii) los criterios de elegibilidad </w:t>
      </w:r>
      <w:r w:rsidR="0062393D" w:rsidRPr="00FD774A">
        <w:rPr>
          <w:rFonts w:ascii="Times New Roman" w:hAnsi="Times New Roman"/>
          <w:bCs/>
          <w:szCs w:val="24"/>
          <w:lang w:val="es-ES"/>
        </w:rPr>
        <w:t xml:space="preserve">para la selección de </w:t>
      </w:r>
      <w:r w:rsidR="008461A1" w:rsidRPr="00FD774A">
        <w:rPr>
          <w:rFonts w:ascii="Times New Roman" w:hAnsi="Times New Roman"/>
          <w:bCs/>
          <w:szCs w:val="24"/>
          <w:lang w:val="es-ES"/>
        </w:rPr>
        <w:t xml:space="preserve">los </w:t>
      </w:r>
      <w:r w:rsidR="0017598F">
        <w:rPr>
          <w:rFonts w:ascii="Times New Roman" w:hAnsi="Times New Roman"/>
          <w:bCs/>
          <w:szCs w:val="24"/>
          <w:lang w:val="es-ES"/>
        </w:rPr>
        <w:t>S</w:t>
      </w:r>
      <w:r w:rsidR="008461A1" w:rsidRPr="00FD774A">
        <w:rPr>
          <w:rFonts w:ascii="Times New Roman" w:hAnsi="Times New Roman"/>
          <w:bCs/>
          <w:szCs w:val="24"/>
          <w:lang w:val="es-ES"/>
        </w:rPr>
        <w:t>ub</w:t>
      </w:r>
      <w:r w:rsidR="002B5029">
        <w:rPr>
          <w:rFonts w:ascii="Times New Roman" w:hAnsi="Times New Roman"/>
          <w:bCs/>
          <w:szCs w:val="24"/>
          <w:lang w:val="es-ES"/>
        </w:rPr>
        <w:t xml:space="preserve"> </w:t>
      </w:r>
      <w:r w:rsidR="0017598F">
        <w:rPr>
          <w:rFonts w:ascii="Times New Roman" w:hAnsi="Times New Roman"/>
          <w:bCs/>
          <w:szCs w:val="24"/>
          <w:lang w:val="es-ES"/>
        </w:rPr>
        <w:t>P</w:t>
      </w:r>
      <w:r w:rsidR="008461A1" w:rsidRPr="00FD774A">
        <w:rPr>
          <w:rFonts w:ascii="Times New Roman" w:hAnsi="Times New Roman"/>
          <w:bCs/>
          <w:szCs w:val="24"/>
          <w:lang w:val="es-ES"/>
        </w:rPr>
        <w:t>restatarios</w:t>
      </w:r>
      <w:r w:rsidR="0062393D" w:rsidRPr="00FD774A">
        <w:rPr>
          <w:rFonts w:ascii="Times New Roman" w:hAnsi="Times New Roman"/>
          <w:bCs/>
          <w:szCs w:val="24"/>
          <w:lang w:val="es-ES"/>
        </w:rPr>
        <w:t xml:space="preserve"> </w:t>
      </w:r>
      <w:r w:rsidR="0017598F">
        <w:rPr>
          <w:rFonts w:ascii="Times New Roman" w:hAnsi="Times New Roman"/>
          <w:bCs/>
          <w:szCs w:val="24"/>
          <w:lang w:val="es-ES"/>
        </w:rPr>
        <w:t>E</w:t>
      </w:r>
      <w:r w:rsidR="0062393D" w:rsidRPr="00FD774A">
        <w:rPr>
          <w:rFonts w:ascii="Times New Roman" w:hAnsi="Times New Roman"/>
          <w:bCs/>
          <w:szCs w:val="24"/>
          <w:lang w:val="es-ES"/>
        </w:rPr>
        <w:t>legibles</w:t>
      </w:r>
      <w:r w:rsidR="00D34879" w:rsidRPr="00FD774A">
        <w:rPr>
          <w:rFonts w:ascii="Times New Roman" w:hAnsi="Times New Roman"/>
          <w:bCs/>
          <w:szCs w:val="24"/>
          <w:lang w:val="es-ES"/>
        </w:rPr>
        <w:t>;</w:t>
      </w:r>
      <w:r w:rsidR="007B5DC0" w:rsidRPr="00FD774A">
        <w:rPr>
          <w:rFonts w:ascii="Times New Roman" w:hAnsi="Times New Roman"/>
          <w:bCs/>
          <w:szCs w:val="24"/>
          <w:lang w:val="es-ES"/>
        </w:rPr>
        <w:t xml:space="preserve"> y </w:t>
      </w:r>
      <w:r w:rsidR="008461A1" w:rsidRPr="00FD774A">
        <w:rPr>
          <w:rFonts w:ascii="Times New Roman" w:hAnsi="Times New Roman"/>
          <w:bCs/>
          <w:szCs w:val="24"/>
          <w:lang w:val="es-ES"/>
        </w:rPr>
        <w:t xml:space="preserve">(iv) las características de los </w:t>
      </w:r>
      <w:r w:rsidR="0017598F">
        <w:rPr>
          <w:rFonts w:ascii="Times New Roman" w:hAnsi="Times New Roman"/>
          <w:bCs/>
          <w:szCs w:val="24"/>
          <w:lang w:val="es-ES"/>
        </w:rPr>
        <w:t>S</w:t>
      </w:r>
      <w:r w:rsidR="008461A1" w:rsidRPr="00FD774A">
        <w:rPr>
          <w:rFonts w:ascii="Times New Roman" w:hAnsi="Times New Roman"/>
          <w:bCs/>
          <w:szCs w:val="24"/>
          <w:lang w:val="es-ES"/>
        </w:rPr>
        <w:t>ub</w:t>
      </w:r>
      <w:r w:rsidR="0017598F">
        <w:rPr>
          <w:rFonts w:ascii="Times New Roman" w:hAnsi="Times New Roman"/>
          <w:bCs/>
          <w:szCs w:val="24"/>
          <w:lang w:val="es-ES"/>
        </w:rPr>
        <w:t>-</w:t>
      </w:r>
      <w:r w:rsidR="008461A1" w:rsidRPr="00FD774A">
        <w:rPr>
          <w:rFonts w:ascii="Times New Roman" w:hAnsi="Times New Roman"/>
          <w:bCs/>
          <w:szCs w:val="24"/>
          <w:lang w:val="es-ES"/>
        </w:rPr>
        <w:t xml:space="preserve">préstamos. El Reglamento Operativo recoge las normas y políticas </w:t>
      </w:r>
      <w:r w:rsidR="00C3680E" w:rsidRPr="00FD774A">
        <w:rPr>
          <w:rFonts w:ascii="Times New Roman" w:hAnsi="Times New Roman"/>
          <w:bCs/>
          <w:szCs w:val="24"/>
          <w:lang w:val="es-ES"/>
        </w:rPr>
        <w:t>del Prestatario</w:t>
      </w:r>
      <w:r w:rsidR="008461A1" w:rsidRPr="00FD774A">
        <w:rPr>
          <w:rFonts w:ascii="Times New Roman" w:hAnsi="Times New Roman"/>
          <w:bCs/>
          <w:szCs w:val="24"/>
          <w:lang w:val="es-ES"/>
        </w:rPr>
        <w:t xml:space="preserve"> aplicables al Programa.</w:t>
      </w:r>
    </w:p>
    <w:p w:rsidR="0062393D" w:rsidRPr="00FD774A" w:rsidRDefault="0062393D" w:rsidP="00FD774A">
      <w:pPr>
        <w:widowControl/>
        <w:ind w:left="720" w:hanging="720"/>
        <w:jc w:val="both"/>
        <w:rPr>
          <w:rFonts w:ascii="Times New Roman" w:hAnsi="Times New Roman"/>
          <w:bCs/>
          <w:szCs w:val="24"/>
          <w:lang w:val="es-ES"/>
        </w:rPr>
      </w:pPr>
    </w:p>
    <w:p w:rsidR="0062393D" w:rsidRPr="00FD774A" w:rsidRDefault="0062393D" w:rsidP="00FD774A">
      <w:pPr>
        <w:jc w:val="both"/>
        <w:rPr>
          <w:rFonts w:ascii="Times New Roman" w:hAnsi="Times New Roman"/>
          <w:b/>
          <w:szCs w:val="24"/>
        </w:rPr>
      </w:pPr>
      <w:r w:rsidRPr="00FD774A">
        <w:rPr>
          <w:rFonts w:ascii="Times New Roman" w:hAnsi="Times New Roman"/>
          <w:b/>
          <w:szCs w:val="24"/>
        </w:rPr>
        <w:t>V.</w:t>
      </w:r>
      <w:r w:rsidRPr="00FD774A">
        <w:rPr>
          <w:rFonts w:ascii="Times New Roman" w:hAnsi="Times New Roman"/>
          <w:b/>
          <w:szCs w:val="24"/>
        </w:rPr>
        <w:tab/>
      </w:r>
      <w:r w:rsidRPr="00FD774A">
        <w:rPr>
          <w:rFonts w:ascii="Times New Roman" w:hAnsi="Times New Roman"/>
          <w:b/>
          <w:szCs w:val="24"/>
          <w:u w:val="single"/>
        </w:rPr>
        <w:t>Seguimiento y evaluación</w:t>
      </w:r>
    </w:p>
    <w:p w:rsidR="0062393D" w:rsidRPr="00FD774A" w:rsidRDefault="0062393D" w:rsidP="00FD774A">
      <w:pPr>
        <w:jc w:val="both"/>
        <w:rPr>
          <w:rFonts w:ascii="Times New Roman" w:hAnsi="Times New Roman"/>
          <w:szCs w:val="24"/>
        </w:rPr>
      </w:pPr>
      <w:r w:rsidRPr="00FD774A">
        <w:rPr>
          <w:rFonts w:ascii="Times New Roman" w:hAnsi="Times New Roman"/>
          <w:szCs w:val="24"/>
        </w:rPr>
        <w:tab/>
      </w:r>
    </w:p>
    <w:p w:rsidR="0062393D" w:rsidRPr="00FD774A" w:rsidRDefault="0062393D" w:rsidP="00FD774A">
      <w:pPr>
        <w:pStyle w:val="ListParagraph"/>
        <w:widowControl/>
        <w:numPr>
          <w:ilvl w:val="1"/>
          <w:numId w:val="6"/>
        </w:numPr>
        <w:autoSpaceDE w:val="0"/>
        <w:autoSpaceDN w:val="0"/>
        <w:adjustRightInd w:val="0"/>
        <w:ind w:left="720" w:hanging="720"/>
        <w:jc w:val="both"/>
        <w:rPr>
          <w:rFonts w:ascii="Times New Roman" w:hAnsi="Times New Roman"/>
          <w:szCs w:val="24"/>
          <w:lang w:val="es-ES_tradnl"/>
        </w:rPr>
      </w:pPr>
      <w:r w:rsidRPr="00FD774A">
        <w:rPr>
          <w:rFonts w:ascii="Times New Roman" w:hAnsi="Times New Roman"/>
          <w:szCs w:val="24"/>
          <w:lang w:val="es-ES_tradnl"/>
        </w:rPr>
        <w:t xml:space="preserve">Las actividades de seguimiento y evaluación del Programa a ser desarrolladas por NAFIN </w:t>
      </w:r>
      <w:r w:rsidR="00FD774A" w:rsidRPr="00FD774A">
        <w:rPr>
          <w:rFonts w:ascii="Times New Roman" w:hAnsi="Times New Roman"/>
          <w:szCs w:val="24"/>
          <w:lang w:val="es-ES_tradnl"/>
        </w:rPr>
        <w:t xml:space="preserve">también </w:t>
      </w:r>
      <w:r w:rsidRPr="00FD774A">
        <w:rPr>
          <w:rFonts w:ascii="Times New Roman" w:hAnsi="Times New Roman"/>
          <w:szCs w:val="24"/>
          <w:lang w:val="es-ES_tradnl"/>
        </w:rPr>
        <w:t>se establecerán en el Reglamento Operativo. El Banco realizará sus actividades de seguimiento y evaluación de conformidad con lo previ</w:t>
      </w:r>
      <w:r w:rsidR="00FD774A" w:rsidRPr="00FD774A">
        <w:rPr>
          <w:rFonts w:ascii="Times New Roman" w:hAnsi="Times New Roman"/>
          <w:szCs w:val="24"/>
          <w:lang w:val="es-ES_tradnl"/>
        </w:rPr>
        <w:t xml:space="preserve">sto en el presente </w:t>
      </w:r>
      <w:r w:rsidR="003A496D">
        <w:rPr>
          <w:rFonts w:ascii="Times New Roman" w:hAnsi="Times New Roman"/>
          <w:szCs w:val="24"/>
          <w:lang w:val="es-ES_tradnl"/>
        </w:rPr>
        <w:t>C</w:t>
      </w:r>
      <w:r w:rsidR="00FD774A" w:rsidRPr="00FD774A">
        <w:rPr>
          <w:rFonts w:ascii="Times New Roman" w:hAnsi="Times New Roman"/>
          <w:szCs w:val="24"/>
          <w:lang w:val="es-ES_tradnl"/>
        </w:rPr>
        <w:t>ontrato.</w:t>
      </w:r>
    </w:p>
    <w:p w:rsidR="0062393D" w:rsidRPr="00FD774A" w:rsidRDefault="0062393D" w:rsidP="00FD774A">
      <w:pPr>
        <w:pStyle w:val="ListParagraph"/>
        <w:autoSpaceDE w:val="0"/>
        <w:autoSpaceDN w:val="0"/>
        <w:adjustRightInd w:val="0"/>
        <w:jc w:val="both"/>
        <w:rPr>
          <w:rFonts w:ascii="Times New Roman" w:hAnsi="Times New Roman"/>
          <w:szCs w:val="24"/>
          <w:lang w:val="es-ES_tradnl"/>
        </w:rPr>
      </w:pPr>
    </w:p>
    <w:p w:rsidR="0062393D" w:rsidRPr="00FD774A" w:rsidRDefault="0062393D" w:rsidP="00FD774A">
      <w:pPr>
        <w:pStyle w:val="ListParagraph"/>
        <w:widowControl/>
        <w:numPr>
          <w:ilvl w:val="1"/>
          <w:numId w:val="6"/>
        </w:numPr>
        <w:autoSpaceDE w:val="0"/>
        <w:autoSpaceDN w:val="0"/>
        <w:adjustRightInd w:val="0"/>
        <w:ind w:left="720" w:hanging="720"/>
        <w:jc w:val="both"/>
        <w:rPr>
          <w:rFonts w:ascii="Times New Roman" w:hAnsi="Times New Roman"/>
          <w:szCs w:val="24"/>
          <w:lang w:val="es-ES_tradnl"/>
        </w:rPr>
      </w:pPr>
      <w:r w:rsidRPr="00FD774A">
        <w:rPr>
          <w:rFonts w:ascii="Times New Roman" w:hAnsi="Times New Roman"/>
          <w:szCs w:val="24"/>
          <w:lang w:val="es-ES_tradnl"/>
        </w:rPr>
        <w:t>En adición a los informes semestrales de progreso a que se refiere el Artículo 7.03 de las Normas Generales, se realizarán reuniones de revisión con el Banco cuando éste lo considere necesario, en las cuales se evaluará el flujo financiero de las operaciones aprobadas y comprometidas; el perfil de desembolsos; y la naturaleza de las inversiones realizadas con los respectivos Sub</w:t>
      </w:r>
      <w:r w:rsidR="0017598F">
        <w:rPr>
          <w:rFonts w:ascii="Times New Roman" w:hAnsi="Times New Roman"/>
          <w:szCs w:val="24"/>
          <w:lang w:val="es-ES_tradnl"/>
        </w:rPr>
        <w:t xml:space="preserve"> P</w:t>
      </w:r>
      <w:r w:rsidRPr="00FD774A">
        <w:rPr>
          <w:rFonts w:ascii="Times New Roman" w:hAnsi="Times New Roman"/>
          <w:szCs w:val="24"/>
          <w:lang w:val="es-ES_tradnl"/>
        </w:rPr>
        <w:t>réstamos Elegibles.</w:t>
      </w:r>
    </w:p>
    <w:p w:rsidR="0062393D" w:rsidRPr="00FD774A" w:rsidRDefault="0062393D" w:rsidP="00FD774A">
      <w:pPr>
        <w:pStyle w:val="ListParagraph"/>
        <w:jc w:val="both"/>
        <w:rPr>
          <w:rFonts w:ascii="Times New Roman" w:hAnsi="Times New Roman"/>
          <w:szCs w:val="24"/>
          <w:lang w:val="es-ES_tradnl"/>
        </w:rPr>
      </w:pPr>
    </w:p>
    <w:p w:rsidR="0062393D" w:rsidRPr="00FD774A" w:rsidRDefault="0062393D" w:rsidP="00FD774A">
      <w:pPr>
        <w:pStyle w:val="ListParagraph"/>
        <w:widowControl/>
        <w:numPr>
          <w:ilvl w:val="1"/>
          <w:numId w:val="6"/>
        </w:numPr>
        <w:autoSpaceDE w:val="0"/>
        <w:autoSpaceDN w:val="0"/>
        <w:adjustRightInd w:val="0"/>
        <w:ind w:left="720" w:hanging="720"/>
        <w:jc w:val="both"/>
        <w:rPr>
          <w:rFonts w:ascii="Times New Roman" w:hAnsi="Times New Roman"/>
          <w:szCs w:val="24"/>
          <w:lang w:val="es-ES_tradnl"/>
        </w:rPr>
      </w:pPr>
      <w:r w:rsidRPr="00FD774A">
        <w:rPr>
          <w:rFonts w:ascii="Times New Roman" w:hAnsi="Times New Roman"/>
          <w:szCs w:val="24"/>
          <w:lang w:val="es-ES_tradnl"/>
        </w:rPr>
        <w:lastRenderedPageBreak/>
        <w:t xml:space="preserve">NAFIN y el Banco llevarán a cabo una evaluación de medio término a los </w:t>
      </w:r>
      <w:r w:rsidR="002B5029">
        <w:rPr>
          <w:rFonts w:ascii="Times New Roman" w:hAnsi="Times New Roman"/>
          <w:szCs w:val="24"/>
          <w:lang w:val="es-ES_tradnl"/>
        </w:rPr>
        <w:t>veinticuatro</w:t>
      </w:r>
      <w:r w:rsidR="002146C9">
        <w:rPr>
          <w:rFonts w:ascii="Times New Roman" w:hAnsi="Times New Roman"/>
          <w:szCs w:val="24"/>
          <w:lang w:val="es-ES_tradnl"/>
        </w:rPr>
        <w:t> </w:t>
      </w:r>
      <w:r w:rsidR="002B5029">
        <w:rPr>
          <w:rFonts w:ascii="Times New Roman" w:hAnsi="Times New Roman"/>
          <w:szCs w:val="24"/>
          <w:lang w:val="es-ES_tradnl"/>
        </w:rPr>
        <w:t>(</w:t>
      </w:r>
      <w:r w:rsidRPr="00FD774A">
        <w:rPr>
          <w:rFonts w:ascii="Times New Roman" w:hAnsi="Times New Roman"/>
          <w:szCs w:val="24"/>
          <w:lang w:val="es-ES_tradnl"/>
        </w:rPr>
        <w:t>24</w:t>
      </w:r>
      <w:r w:rsidR="002B5029">
        <w:rPr>
          <w:rFonts w:ascii="Times New Roman" w:hAnsi="Times New Roman"/>
          <w:szCs w:val="24"/>
          <w:lang w:val="es-ES_tradnl"/>
        </w:rPr>
        <w:t>)</w:t>
      </w:r>
      <w:r w:rsidRPr="00FD774A">
        <w:rPr>
          <w:rFonts w:ascii="Times New Roman" w:hAnsi="Times New Roman"/>
          <w:szCs w:val="24"/>
          <w:lang w:val="es-ES_tradnl"/>
        </w:rPr>
        <w:t xml:space="preserve"> meses de la fecha del primer desembolso o una vez que el 50% del préstamo se ha comprometido, lo que ocurra primero. La evaluación medirá los avances en el cumplimiento de los objetivos del </w:t>
      </w:r>
      <w:r w:rsidR="002B5029">
        <w:rPr>
          <w:rFonts w:ascii="Times New Roman" w:hAnsi="Times New Roman"/>
          <w:szCs w:val="24"/>
          <w:lang w:val="es-ES_tradnl"/>
        </w:rPr>
        <w:t>P</w:t>
      </w:r>
      <w:r w:rsidRPr="00FD774A">
        <w:rPr>
          <w:rFonts w:ascii="Times New Roman" w:hAnsi="Times New Roman"/>
          <w:szCs w:val="24"/>
          <w:lang w:val="es-ES_tradnl"/>
        </w:rPr>
        <w:t xml:space="preserve">rograma y los resultados sobre la base de la matriz de resultados, con el fin de identificar las medidas correctivas eventualmente necesarias. </w:t>
      </w:r>
    </w:p>
    <w:p w:rsidR="0062393D" w:rsidRPr="00FD774A" w:rsidRDefault="0062393D" w:rsidP="00FD774A">
      <w:pPr>
        <w:pStyle w:val="ListParagraph"/>
        <w:jc w:val="both"/>
        <w:rPr>
          <w:rFonts w:ascii="Times New Roman" w:hAnsi="Times New Roman"/>
          <w:szCs w:val="24"/>
          <w:lang w:val="es-ES_tradnl"/>
        </w:rPr>
      </w:pPr>
    </w:p>
    <w:p w:rsidR="0062393D" w:rsidRPr="00FD774A" w:rsidRDefault="0062393D" w:rsidP="00FD774A">
      <w:pPr>
        <w:pStyle w:val="ListParagraph"/>
        <w:widowControl/>
        <w:numPr>
          <w:ilvl w:val="1"/>
          <w:numId w:val="6"/>
        </w:numPr>
        <w:autoSpaceDE w:val="0"/>
        <w:autoSpaceDN w:val="0"/>
        <w:adjustRightInd w:val="0"/>
        <w:ind w:left="720" w:hanging="720"/>
        <w:jc w:val="both"/>
        <w:rPr>
          <w:rFonts w:ascii="Times New Roman" w:hAnsi="Times New Roman"/>
          <w:szCs w:val="24"/>
          <w:lang w:val="es-ES_tradnl"/>
        </w:rPr>
      </w:pPr>
      <w:r w:rsidRPr="00FD774A">
        <w:rPr>
          <w:rFonts w:ascii="Times New Roman" w:hAnsi="Times New Roman"/>
          <w:szCs w:val="24"/>
          <w:lang w:val="es-ES_tradnl"/>
        </w:rPr>
        <w:t>NAFIN</w:t>
      </w:r>
      <w:r w:rsidR="003A496D">
        <w:rPr>
          <w:rFonts w:ascii="Times New Roman" w:hAnsi="Times New Roman"/>
          <w:szCs w:val="24"/>
          <w:lang w:val="es-ES_tradnl"/>
        </w:rPr>
        <w:t>,</w:t>
      </w:r>
      <w:r w:rsidRPr="00FD774A">
        <w:rPr>
          <w:rFonts w:ascii="Times New Roman" w:hAnsi="Times New Roman"/>
          <w:szCs w:val="24"/>
          <w:lang w:val="es-ES_tradnl"/>
        </w:rPr>
        <w:t xml:space="preserve"> asimismo</w:t>
      </w:r>
      <w:r w:rsidR="003A496D">
        <w:rPr>
          <w:rFonts w:ascii="Times New Roman" w:hAnsi="Times New Roman"/>
          <w:szCs w:val="24"/>
          <w:lang w:val="es-ES_tradnl"/>
        </w:rPr>
        <w:t>,</w:t>
      </w:r>
      <w:r w:rsidRPr="00FD774A">
        <w:rPr>
          <w:rFonts w:ascii="Times New Roman" w:hAnsi="Times New Roman"/>
          <w:szCs w:val="24"/>
          <w:lang w:val="es-ES_tradnl"/>
        </w:rPr>
        <w:t xml:space="preserve"> proporcionará la información necesaria para que el Banco lleve a cabo un Informe de Terminación del Proyecto (PCR), que se elaborar</w:t>
      </w:r>
      <w:r w:rsidR="003A496D">
        <w:rPr>
          <w:rFonts w:ascii="Times New Roman" w:hAnsi="Times New Roman"/>
          <w:szCs w:val="24"/>
          <w:lang w:val="es-ES_tradnl"/>
        </w:rPr>
        <w:t>á</w:t>
      </w:r>
      <w:r w:rsidRPr="00FD774A">
        <w:rPr>
          <w:rFonts w:ascii="Times New Roman" w:hAnsi="Times New Roman"/>
          <w:szCs w:val="24"/>
          <w:lang w:val="es-ES_tradnl"/>
        </w:rPr>
        <w:t xml:space="preserve"> seis</w:t>
      </w:r>
      <w:r w:rsidR="003A496D">
        <w:rPr>
          <w:rFonts w:ascii="Times New Roman" w:hAnsi="Times New Roman"/>
          <w:szCs w:val="24"/>
          <w:lang w:val="es-ES_tradnl"/>
        </w:rPr>
        <w:t xml:space="preserve"> (6)</w:t>
      </w:r>
      <w:r w:rsidRPr="00FD774A">
        <w:rPr>
          <w:rFonts w:ascii="Times New Roman" w:hAnsi="Times New Roman"/>
          <w:szCs w:val="24"/>
          <w:lang w:val="es-ES_tradnl"/>
        </w:rPr>
        <w:t xml:space="preserve"> meses después de</w:t>
      </w:r>
      <w:r w:rsidR="00FD774A">
        <w:rPr>
          <w:rFonts w:ascii="Times New Roman" w:hAnsi="Times New Roman"/>
          <w:szCs w:val="24"/>
          <w:lang w:val="es-ES_tradnl"/>
        </w:rPr>
        <w:t>l último</w:t>
      </w:r>
      <w:r w:rsidRPr="00FD774A">
        <w:rPr>
          <w:rFonts w:ascii="Times New Roman" w:hAnsi="Times New Roman"/>
          <w:szCs w:val="24"/>
          <w:lang w:val="es-ES_tradnl"/>
        </w:rPr>
        <w:t xml:space="preserve"> desembolso de la operación. A estos efectos</w:t>
      </w:r>
      <w:r w:rsidR="003A496D">
        <w:rPr>
          <w:rFonts w:ascii="Times New Roman" w:hAnsi="Times New Roman"/>
          <w:szCs w:val="24"/>
          <w:lang w:val="es-ES_tradnl"/>
        </w:rPr>
        <w:t>,</w:t>
      </w:r>
      <w:r w:rsidRPr="00FD774A">
        <w:rPr>
          <w:rFonts w:ascii="Times New Roman" w:hAnsi="Times New Roman"/>
          <w:szCs w:val="24"/>
          <w:lang w:val="es-ES_tradnl"/>
        </w:rPr>
        <w:t xml:space="preserve"> NAFIN compilará y mantendrá toda la información, indicadores y parámetros</w:t>
      </w:r>
      <w:r w:rsidR="00FD774A">
        <w:rPr>
          <w:rFonts w:ascii="Times New Roman" w:hAnsi="Times New Roman"/>
          <w:szCs w:val="24"/>
          <w:lang w:val="es-ES_tradnl"/>
        </w:rPr>
        <w:t xml:space="preserve"> para realizar dicho informe</w:t>
      </w:r>
      <w:r w:rsidRPr="00FD774A">
        <w:rPr>
          <w:rFonts w:ascii="Times New Roman" w:hAnsi="Times New Roman"/>
          <w:szCs w:val="24"/>
          <w:lang w:val="es-ES_tradnl"/>
        </w:rPr>
        <w:t>.</w:t>
      </w:r>
    </w:p>
    <w:p w:rsidR="0062393D" w:rsidRPr="0062393D" w:rsidRDefault="0062393D" w:rsidP="00FD774A">
      <w:pPr>
        <w:widowControl/>
        <w:ind w:left="720" w:hanging="720"/>
        <w:jc w:val="both"/>
        <w:rPr>
          <w:rFonts w:ascii="Times New Roman" w:hAnsi="Times New Roman"/>
          <w:bCs/>
          <w:lang w:val="es-ES_tradnl"/>
        </w:rPr>
      </w:pPr>
    </w:p>
    <w:sectPr w:rsidR="0062393D" w:rsidRPr="0062393D" w:rsidSect="00D9193D">
      <w:headerReference w:type="default" r:id="rId8"/>
      <w:footerReference w:type="default" r:id="rId9"/>
      <w:footerReference w:type="first" r:id="rId10"/>
      <w:endnotePr>
        <w:numFmt w:val="decimal"/>
      </w:endnotePr>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68" w:rsidRDefault="00940E68">
      <w:r>
        <w:separator/>
      </w:r>
    </w:p>
  </w:endnote>
  <w:endnote w:type="continuationSeparator" w:id="0">
    <w:p w:rsidR="00940E68" w:rsidRDefault="00940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5E" w:rsidRPr="00B818F9" w:rsidRDefault="00844093" w:rsidP="00B818F9">
    <w:pPr>
      <w:pStyle w:val="Footer"/>
      <w:jc w:val="center"/>
      <w:rPr>
        <w:rFonts w:ascii="Times New Roman" w:hAnsi="Times New Roman"/>
        <w:szCs w:val="24"/>
      </w:rPr>
    </w:pPr>
    <w:r>
      <w:rPr>
        <w:rFonts w:ascii="Times New Roman" w:hAnsi="Times New Roman"/>
        <w:szCs w:val="24"/>
        <w:lang w:val="es-ES"/>
      </w:rPr>
      <w:t>2671</w:t>
    </w:r>
    <w:r w:rsidR="007B5DC0" w:rsidRPr="00B818F9">
      <w:rPr>
        <w:rFonts w:ascii="Times New Roman" w:hAnsi="Times New Roman"/>
        <w:szCs w:val="24"/>
        <w:lang w:val="es-ES"/>
      </w:rPr>
      <w:t>/OC-ME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5E" w:rsidRDefault="00844093">
    <w:pPr>
      <w:pStyle w:val="Footer"/>
      <w:jc w:val="center"/>
      <w:rPr>
        <w:rFonts w:ascii="Times New Roman" w:hAnsi="Times New Roman"/>
        <w:lang w:val="es-ES"/>
      </w:rPr>
    </w:pPr>
    <w:r>
      <w:rPr>
        <w:rFonts w:ascii="Times New Roman" w:hAnsi="Times New Roman"/>
        <w:lang w:val="es-ES"/>
      </w:rPr>
      <w:t>2671</w:t>
    </w:r>
    <w:r w:rsidR="007B5DC0">
      <w:rPr>
        <w:rFonts w:ascii="Times New Roman" w:hAnsi="Times New Roman"/>
        <w:lang w:val="es-ES"/>
      </w:rPr>
      <w:t>/</w:t>
    </w:r>
    <w:r w:rsidR="00D7345E">
      <w:rPr>
        <w:rFonts w:ascii="Times New Roman" w:hAnsi="Times New Roman"/>
        <w:lang w:val="es-ES"/>
      </w:rPr>
      <w:t>OC-ME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68" w:rsidRDefault="00940E68">
      <w:r>
        <w:separator/>
      </w:r>
    </w:p>
  </w:footnote>
  <w:footnote w:type="continuationSeparator" w:id="0">
    <w:p w:rsidR="00940E68" w:rsidRDefault="00940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5E" w:rsidRPr="007B5DC0" w:rsidRDefault="007B5DC0" w:rsidP="00960DB1">
    <w:pPr>
      <w:pStyle w:val="Header"/>
      <w:jc w:val="center"/>
      <w:rPr>
        <w:rFonts w:ascii="Times New Roman" w:hAnsi="Times New Roman"/>
        <w:sz w:val="20"/>
      </w:rPr>
    </w:pPr>
    <w:r w:rsidRPr="007B5DC0">
      <w:rPr>
        <w:rFonts w:ascii="Times New Roman" w:hAnsi="Times New Roman"/>
      </w:rPr>
      <w:t xml:space="preserve">- </w:t>
    </w:r>
    <w:r w:rsidR="005C45C8" w:rsidRPr="007B5DC0">
      <w:rPr>
        <w:rFonts w:ascii="Times New Roman" w:hAnsi="Times New Roman"/>
      </w:rPr>
      <w:fldChar w:fldCharType="begin"/>
    </w:r>
    <w:r w:rsidRPr="007B5DC0">
      <w:rPr>
        <w:rFonts w:ascii="Times New Roman" w:hAnsi="Times New Roman"/>
      </w:rPr>
      <w:instrText xml:space="preserve"> PAGE </w:instrText>
    </w:r>
    <w:r w:rsidR="005C45C8" w:rsidRPr="007B5DC0">
      <w:rPr>
        <w:rFonts w:ascii="Times New Roman" w:hAnsi="Times New Roman"/>
      </w:rPr>
      <w:fldChar w:fldCharType="separate"/>
    </w:r>
    <w:r w:rsidR="00844093">
      <w:rPr>
        <w:rFonts w:ascii="Times New Roman" w:hAnsi="Times New Roman"/>
        <w:noProof/>
      </w:rPr>
      <w:t>4</w:t>
    </w:r>
    <w:r w:rsidR="005C45C8" w:rsidRPr="007B5DC0">
      <w:rPr>
        <w:rFonts w:ascii="Times New Roman" w:hAnsi="Times New Roman"/>
      </w:rPr>
      <w:fldChar w:fldCharType="end"/>
    </w:r>
    <w:r w:rsidRPr="007B5DC0">
      <w:rPr>
        <w:rFonts w:ascii="Times New Roman" w:hAnsi="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FD8"/>
    <w:multiLevelType w:val="multilevel"/>
    <w:tmpl w:val="861C60A6"/>
    <w:lvl w:ilvl="0">
      <w:start w:val="2"/>
      <w:numFmt w:val="decimal"/>
      <w:lvlText w:val="%1"/>
      <w:lvlJc w:val="left"/>
      <w:pPr>
        <w:tabs>
          <w:tab w:val="num" w:pos="720"/>
        </w:tabs>
        <w:ind w:left="720" w:hanging="720"/>
      </w:pPr>
      <w:rPr>
        <w:rFonts w:hint="default"/>
        <w:b/>
      </w:rPr>
    </w:lvl>
    <w:lvl w:ilvl="1">
      <w:start w:val="1"/>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2B273D59"/>
    <w:multiLevelType w:val="multilevel"/>
    <w:tmpl w:val="9CA0374C"/>
    <w:lvl w:ilvl="0">
      <w:start w:val="1"/>
      <w:numFmt w:val="decimal"/>
      <w:lvlText w:val="%1"/>
      <w:lvlJc w:val="left"/>
      <w:pPr>
        <w:tabs>
          <w:tab w:val="num" w:pos="360"/>
        </w:tabs>
        <w:ind w:left="360" w:hanging="360"/>
      </w:pPr>
      <w:rPr>
        <w:rFonts w:hint="default"/>
        <w:b/>
      </w:rPr>
    </w:lvl>
    <w:lvl w:ilvl="1">
      <w:start w:val="1"/>
      <w:numFmt w:val="decimalZero"/>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32952F64"/>
    <w:multiLevelType w:val="multilevel"/>
    <w:tmpl w:val="774872F4"/>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1D20B9"/>
    <w:multiLevelType w:val="multilevel"/>
    <w:tmpl w:val="25E887F2"/>
    <w:lvl w:ilvl="0">
      <w:start w:val="6"/>
      <w:numFmt w:val="decimal"/>
      <w:lvlText w:val="%1"/>
      <w:lvlJc w:val="left"/>
      <w:pPr>
        <w:tabs>
          <w:tab w:val="num" w:pos="720"/>
        </w:tabs>
        <w:ind w:left="720" w:hanging="720"/>
      </w:pPr>
      <w:rPr>
        <w:rFonts w:hint="default"/>
        <w:b/>
      </w:rPr>
    </w:lvl>
    <w:lvl w:ilvl="1">
      <w:start w:val="3"/>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67CB3475"/>
    <w:multiLevelType w:val="multilevel"/>
    <w:tmpl w:val="281894D0"/>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EE8062B"/>
    <w:multiLevelType w:val="hybridMultilevel"/>
    <w:tmpl w:val="0A86232C"/>
    <w:lvl w:ilvl="0" w:tplc="95F676A4">
      <w:start w:val="1"/>
      <w:numFmt w:val="bullet"/>
      <w:lvlText w:val=""/>
      <w:lvlJc w:val="left"/>
      <w:pPr>
        <w:ind w:left="1860" w:hanging="360"/>
      </w:pPr>
      <w:rPr>
        <w:rFonts w:ascii="Symbol" w:eastAsia="Times New Roman" w:hAnsi="Symbol"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705A0EFE"/>
    <w:multiLevelType w:val="hybridMultilevel"/>
    <w:tmpl w:val="B358E6D6"/>
    <w:lvl w:ilvl="0" w:tplc="FFC850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FB21B23"/>
    <w:multiLevelType w:val="multilevel"/>
    <w:tmpl w:val="6ADA9B5C"/>
    <w:lvl w:ilvl="0">
      <w:start w:val="4"/>
      <w:numFmt w:val="upperRoman"/>
      <w:lvlText w:val="%1."/>
      <w:lvlJc w:val="left"/>
      <w:pPr>
        <w:tabs>
          <w:tab w:val="num" w:pos="720"/>
        </w:tabs>
        <w:ind w:left="720" w:hanging="720"/>
      </w:pPr>
      <w:rPr>
        <w:rFonts w:hint="default"/>
        <w:u w:val="none"/>
      </w:rPr>
    </w:lvl>
    <w:lvl w:ilvl="1">
      <w:start w:val="1"/>
      <w:numFmt w:val="decimalZero"/>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3"/>
  </w:num>
  <w:num w:numId="2">
    <w:abstractNumId w:val="7"/>
  </w:num>
  <w:num w:numId="3">
    <w:abstractNumId w:val="1"/>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readOnly" w:enforcement="1" w:cryptProviderType="rsaFull" w:cryptAlgorithmClass="hash" w:cryptAlgorithmType="typeAny" w:cryptAlgorithmSid="4" w:cryptSpinCount="100000" w:hash="VvJISB4V7jbk6I2IwiYBja7Zfhw=" w:salt="FgbsDYzpM3XcfY8/G4F2uA=="/>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8F116B"/>
    <w:rsid w:val="00053213"/>
    <w:rsid w:val="000F2247"/>
    <w:rsid w:val="000F723D"/>
    <w:rsid w:val="001153BA"/>
    <w:rsid w:val="00150410"/>
    <w:rsid w:val="001661F7"/>
    <w:rsid w:val="0017532F"/>
    <w:rsid w:val="0017598F"/>
    <w:rsid w:val="0018346F"/>
    <w:rsid w:val="001A2BA7"/>
    <w:rsid w:val="001B586C"/>
    <w:rsid w:val="002146C9"/>
    <w:rsid w:val="00224B9A"/>
    <w:rsid w:val="00230AAC"/>
    <w:rsid w:val="00246909"/>
    <w:rsid w:val="002631FA"/>
    <w:rsid w:val="0028012F"/>
    <w:rsid w:val="002B5029"/>
    <w:rsid w:val="002B5DA6"/>
    <w:rsid w:val="00313171"/>
    <w:rsid w:val="00325DEC"/>
    <w:rsid w:val="00334EF7"/>
    <w:rsid w:val="003600AD"/>
    <w:rsid w:val="0038288C"/>
    <w:rsid w:val="0038521B"/>
    <w:rsid w:val="003A496D"/>
    <w:rsid w:val="003B1470"/>
    <w:rsid w:val="003B50C9"/>
    <w:rsid w:val="003C5AE8"/>
    <w:rsid w:val="004033D9"/>
    <w:rsid w:val="004055D7"/>
    <w:rsid w:val="0041197B"/>
    <w:rsid w:val="0041198D"/>
    <w:rsid w:val="00413B1B"/>
    <w:rsid w:val="00435EEF"/>
    <w:rsid w:val="0046156A"/>
    <w:rsid w:val="004B1572"/>
    <w:rsid w:val="004C7389"/>
    <w:rsid w:val="004D47B3"/>
    <w:rsid w:val="00505F8B"/>
    <w:rsid w:val="00514EA2"/>
    <w:rsid w:val="005152D7"/>
    <w:rsid w:val="00516311"/>
    <w:rsid w:val="0055458A"/>
    <w:rsid w:val="005711D6"/>
    <w:rsid w:val="0058308E"/>
    <w:rsid w:val="0059751E"/>
    <w:rsid w:val="005B56C9"/>
    <w:rsid w:val="005B75C2"/>
    <w:rsid w:val="005C06D6"/>
    <w:rsid w:val="005C26CF"/>
    <w:rsid w:val="005C45C8"/>
    <w:rsid w:val="005D0EEC"/>
    <w:rsid w:val="005D46DC"/>
    <w:rsid w:val="00600398"/>
    <w:rsid w:val="0062393D"/>
    <w:rsid w:val="006336D8"/>
    <w:rsid w:val="0063766E"/>
    <w:rsid w:val="006433CB"/>
    <w:rsid w:val="00656DB1"/>
    <w:rsid w:val="00667A55"/>
    <w:rsid w:val="00686AD6"/>
    <w:rsid w:val="00694458"/>
    <w:rsid w:val="006A3EB4"/>
    <w:rsid w:val="006A448F"/>
    <w:rsid w:val="006B4400"/>
    <w:rsid w:val="006C35C2"/>
    <w:rsid w:val="006D7B46"/>
    <w:rsid w:val="006E15F4"/>
    <w:rsid w:val="006E6773"/>
    <w:rsid w:val="0070557B"/>
    <w:rsid w:val="007127D2"/>
    <w:rsid w:val="00793BA3"/>
    <w:rsid w:val="007B2BE5"/>
    <w:rsid w:val="007B5DC0"/>
    <w:rsid w:val="007C059C"/>
    <w:rsid w:val="007C56E6"/>
    <w:rsid w:val="0080137B"/>
    <w:rsid w:val="0081116A"/>
    <w:rsid w:val="008265BD"/>
    <w:rsid w:val="00844093"/>
    <w:rsid w:val="008461A1"/>
    <w:rsid w:val="00857C25"/>
    <w:rsid w:val="008B7F15"/>
    <w:rsid w:val="008C22E2"/>
    <w:rsid w:val="008D00C9"/>
    <w:rsid w:val="008E2FD1"/>
    <w:rsid w:val="008F116B"/>
    <w:rsid w:val="009136FB"/>
    <w:rsid w:val="00917D9F"/>
    <w:rsid w:val="00922D1B"/>
    <w:rsid w:val="00932C64"/>
    <w:rsid w:val="00940E68"/>
    <w:rsid w:val="009566DD"/>
    <w:rsid w:val="00960DB1"/>
    <w:rsid w:val="00992E35"/>
    <w:rsid w:val="00994D28"/>
    <w:rsid w:val="0099515D"/>
    <w:rsid w:val="00996978"/>
    <w:rsid w:val="009B2A63"/>
    <w:rsid w:val="009B5C32"/>
    <w:rsid w:val="009C4BB0"/>
    <w:rsid w:val="009E0815"/>
    <w:rsid w:val="00A00AFA"/>
    <w:rsid w:val="00A173D8"/>
    <w:rsid w:val="00A24C3D"/>
    <w:rsid w:val="00A378A0"/>
    <w:rsid w:val="00A66D6F"/>
    <w:rsid w:val="00A96AA0"/>
    <w:rsid w:val="00AB1748"/>
    <w:rsid w:val="00AB1769"/>
    <w:rsid w:val="00AB1E8B"/>
    <w:rsid w:val="00AD4D56"/>
    <w:rsid w:val="00AE3052"/>
    <w:rsid w:val="00B071E0"/>
    <w:rsid w:val="00B33B77"/>
    <w:rsid w:val="00B57093"/>
    <w:rsid w:val="00B818F9"/>
    <w:rsid w:val="00BB0674"/>
    <w:rsid w:val="00BB13BF"/>
    <w:rsid w:val="00BD1F80"/>
    <w:rsid w:val="00BE4166"/>
    <w:rsid w:val="00BF069E"/>
    <w:rsid w:val="00C02415"/>
    <w:rsid w:val="00C07D89"/>
    <w:rsid w:val="00C2137F"/>
    <w:rsid w:val="00C26DCA"/>
    <w:rsid w:val="00C310D6"/>
    <w:rsid w:val="00C3680E"/>
    <w:rsid w:val="00C767B5"/>
    <w:rsid w:val="00C928B0"/>
    <w:rsid w:val="00C95574"/>
    <w:rsid w:val="00CE4935"/>
    <w:rsid w:val="00CE5BE2"/>
    <w:rsid w:val="00CE7350"/>
    <w:rsid w:val="00D0367F"/>
    <w:rsid w:val="00D04703"/>
    <w:rsid w:val="00D25083"/>
    <w:rsid w:val="00D319FD"/>
    <w:rsid w:val="00D34879"/>
    <w:rsid w:val="00D7345E"/>
    <w:rsid w:val="00D744C2"/>
    <w:rsid w:val="00D9193D"/>
    <w:rsid w:val="00DC7713"/>
    <w:rsid w:val="00DD6C4C"/>
    <w:rsid w:val="00E16130"/>
    <w:rsid w:val="00E31CF7"/>
    <w:rsid w:val="00E86F1F"/>
    <w:rsid w:val="00E9467C"/>
    <w:rsid w:val="00EA07C2"/>
    <w:rsid w:val="00EB3A12"/>
    <w:rsid w:val="00EC67C6"/>
    <w:rsid w:val="00ED1DF6"/>
    <w:rsid w:val="00ED4C15"/>
    <w:rsid w:val="00EE48AF"/>
    <w:rsid w:val="00F05214"/>
    <w:rsid w:val="00F25BAB"/>
    <w:rsid w:val="00F42C20"/>
    <w:rsid w:val="00F62E05"/>
    <w:rsid w:val="00FC15BD"/>
    <w:rsid w:val="00FD7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32F"/>
    <w:pPr>
      <w:widowControl w:val="0"/>
    </w:pPr>
    <w:rPr>
      <w:rFonts w:ascii="Baskerville Old Face" w:hAnsi="Baskerville Old Face"/>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532F"/>
  </w:style>
  <w:style w:type="paragraph" w:styleId="Header">
    <w:name w:val="header"/>
    <w:basedOn w:val="Normal"/>
    <w:link w:val="HeaderChar"/>
    <w:rsid w:val="0017532F"/>
    <w:pPr>
      <w:tabs>
        <w:tab w:val="center" w:pos="4320"/>
        <w:tab w:val="right" w:pos="8640"/>
      </w:tabs>
    </w:pPr>
  </w:style>
  <w:style w:type="paragraph" w:styleId="Footer">
    <w:name w:val="footer"/>
    <w:basedOn w:val="Normal"/>
    <w:rsid w:val="0017532F"/>
    <w:pPr>
      <w:tabs>
        <w:tab w:val="center" w:pos="4320"/>
        <w:tab w:val="right" w:pos="8640"/>
      </w:tabs>
    </w:pPr>
  </w:style>
  <w:style w:type="character" w:styleId="CommentReference">
    <w:name w:val="annotation reference"/>
    <w:basedOn w:val="DefaultParagraphFont"/>
    <w:semiHidden/>
    <w:rsid w:val="00C310D6"/>
    <w:rPr>
      <w:sz w:val="16"/>
      <w:szCs w:val="16"/>
    </w:rPr>
  </w:style>
  <w:style w:type="paragraph" w:styleId="CommentText">
    <w:name w:val="annotation text"/>
    <w:basedOn w:val="Normal"/>
    <w:semiHidden/>
    <w:rsid w:val="00C310D6"/>
    <w:rPr>
      <w:sz w:val="20"/>
    </w:rPr>
  </w:style>
  <w:style w:type="paragraph" w:styleId="CommentSubject">
    <w:name w:val="annotation subject"/>
    <w:basedOn w:val="CommentText"/>
    <w:next w:val="CommentText"/>
    <w:semiHidden/>
    <w:rsid w:val="00C310D6"/>
    <w:rPr>
      <w:b/>
      <w:bCs/>
    </w:rPr>
  </w:style>
  <w:style w:type="paragraph" w:styleId="BalloonText">
    <w:name w:val="Balloon Text"/>
    <w:basedOn w:val="Normal"/>
    <w:semiHidden/>
    <w:rsid w:val="00C310D6"/>
    <w:rPr>
      <w:rFonts w:ascii="Tahoma" w:hAnsi="Tahoma" w:cs="Tahoma"/>
      <w:sz w:val="16"/>
      <w:szCs w:val="16"/>
    </w:rPr>
  </w:style>
  <w:style w:type="character" w:customStyle="1" w:styleId="HeaderChar">
    <w:name w:val="Header Char"/>
    <w:basedOn w:val="DefaultParagraphFont"/>
    <w:link w:val="Header"/>
    <w:semiHidden/>
    <w:locked/>
    <w:rsid w:val="007B5DC0"/>
    <w:rPr>
      <w:rFonts w:ascii="Baskerville Old Face" w:hAnsi="Baskerville Old Face"/>
      <w:snapToGrid w:val="0"/>
      <w:sz w:val="24"/>
      <w:lang w:val="en-US" w:eastAsia="en-US" w:bidi="ar-SA"/>
    </w:rPr>
  </w:style>
  <w:style w:type="paragraph" w:styleId="ListParagraph">
    <w:name w:val="List Paragraph"/>
    <w:basedOn w:val="Normal"/>
    <w:qFormat/>
    <w:rsid w:val="00053213"/>
    <w:pPr>
      <w:ind w:left="720"/>
      <w:contextualSpacing/>
    </w:pPr>
  </w:style>
</w:styles>
</file>

<file path=word/webSettings.xml><?xml version="1.0" encoding="utf-8"?>
<w:webSettings xmlns:r="http://schemas.openxmlformats.org/officeDocument/2006/relationships" xmlns:w="http://schemas.openxmlformats.org/wordprocessingml/2006/main">
  <w:divs>
    <w:div w:id="13811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D11B-5DD7-47E9-8835-EEC8A63B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6533</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Septiembre 1997</vt:lpstr>
    </vt:vector>
  </TitlesOfParts>
  <Company>IADB</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Septiembre 1997</dc:title>
  <dc:subject/>
  <dc:creator>cecilia parra</dc:creator>
  <cp:keywords/>
  <dc:description/>
  <cp:lastModifiedBy>ceciliapa</cp:lastModifiedBy>
  <cp:revision>3</cp:revision>
  <cp:lastPrinted>2010-11-09T20:09:00Z</cp:lastPrinted>
  <dcterms:created xsi:type="dcterms:W3CDTF">2011-12-12T17:44:00Z</dcterms:created>
  <dcterms:modified xsi:type="dcterms:W3CDTF">2011-12-12T17:44:00Z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oFAAohepTGvwTLjRZ3queMjnsHkzzh7ztoDtXLU+J1F5f7Gqp8ZBLg1pf08y/rpOhbCmytIIUBcGMPZi
esRuKYP9X61QMuPoN14b4nDocPsezq7KmnLrd4U8minrJhL1biYZUHwqTLgLg6lb0+eztmKY0qgY
33RQXFqvinwVBenoGXqJxX+WJ2gi7l9i2rzSlBv0i3IEcZT+tgnV1tkGBr5oicCCWnBFThaF4enF
E41St/45h/1gwdsc9</vt:lpwstr>
  </property>
  <property fmtid="{D5CDD505-2E9C-101B-9397-08002B2CF9AE}" pid="3" name="MAIL_MSG_ID2">
    <vt:lpwstr>/dmyzX0Rw0QxwX6EQGlTUOeJJ5ofZYxsmaPlND9WoFPICEfauFNArpbj9Qa
oD9Fn5moABoo0I7RFKRhXsmynEmeynyqM26soYwBO+FUoA1E</vt:lpwstr>
  </property>
  <property fmtid="{D5CDD505-2E9C-101B-9397-08002B2CF9AE}" pid="4" name="RESPONSE_SENDER_NAME">
    <vt:lpwstr>4AAA9DNYQidmug7wL3H3V0l9xCN5wnXX2+zGUkcpAXGrTNfDEiyqp77MjQ==</vt:lpwstr>
  </property>
  <property fmtid="{D5CDD505-2E9C-101B-9397-08002B2CF9AE}" pid="5" name="EMAIL_OWNER_ADDRESS">
    <vt:lpwstr>sAAAUYtyAkeNWR7xI6EGW5Camf5KBPB+wYTq6nAKcGtg1wk=</vt:lpwstr>
  </property>
</Properties>
</file>